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B445E">
      <w:pPr>
        <w:spacing w:line="360" w:lineRule="auto"/>
        <w:jc w:val="center"/>
        <w:rPr>
          <w:rFonts w:hint="eastAsia" w:ascii="宋体" w:hAnsi="宋体" w:eastAsia="宋体" w:cs="宋体"/>
        </w:rPr>
      </w:pPr>
      <w:bookmarkStart w:id="20" w:name="_GoBack"/>
      <w:bookmarkEnd w:id="20"/>
    </w:p>
    <w:p w14:paraId="725A8FC1">
      <w:pPr>
        <w:spacing w:line="360" w:lineRule="auto"/>
        <w:jc w:val="center"/>
        <w:rPr>
          <w:rFonts w:hint="eastAsia" w:ascii="宋体" w:hAnsi="宋体" w:eastAsia="宋体" w:cs="宋体"/>
        </w:rPr>
      </w:pPr>
    </w:p>
    <w:p w14:paraId="1749D581">
      <w:pPr>
        <w:spacing w:line="360" w:lineRule="auto"/>
        <w:jc w:val="center"/>
        <w:rPr>
          <w:rFonts w:hint="eastAsia" w:ascii="宋体" w:hAnsi="宋体" w:eastAsia="宋体" w:cs="宋体"/>
        </w:rPr>
      </w:pPr>
    </w:p>
    <w:p w14:paraId="0690690B">
      <w:pPr>
        <w:spacing w:line="360" w:lineRule="auto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305300" cy="1150620"/>
            <wp:effectExtent l="0" t="0" r="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A80CB">
      <w:pPr>
        <w:spacing w:line="360" w:lineRule="auto"/>
        <w:rPr>
          <w:rFonts w:hint="eastAsia" w:ascii="宋体" w:hAnsi="宋体" w:eastAsia="宋体" w:cs="宋体"/>
        </w:rPr>
      </w:pPr>
    </w:p>
    <w:p w14:paraId="2CCBD59F">
      <w:pPr>
        <w:spacing w:line="360" w:lineRule="auto"/>
        <w:rPr>
          <w:rFonts w:hint="eastAsia" w:ascii="宋体" w:hAnsi="宋体" w:eastAsia="宋体" w:cs="宋体"/>
        </w:rPr>
      </w:pPr>
    </w:p>
    <w:p w14:paraId="22CF0191">
      <w:pPr>
        <w:spacing w:line="360" w:lineRule="auto"/>
        <w:rPr>
          <w:rFonts w:hint="eastAsia" w:ascii="宋体" w:hAnsi="宋体" w:eastAsia="宋体" w:cs="宋体"/>
        </w:rPr>
      </w:pPr>
    </w:p>
    <w:p w14:paraId="7A7BD21E">
      <w:pPr>
        <w:spacing w:line="360" w:lineRule="auto"/>
        <w:rPr>
          <w:rFonts w:hint="eastAsia" w:ascii="宋体" w:hAnsi="宋体" w:eastAsia="宋体" w:cs="宋体"/>
        </w:rPr>
      </w:pPr>
    </w:p>
    <w:p w14:paraId="7B38BCCF">
      <w:pPr>
        <w:tabs>
          <w:tab w:val="left" w:pos="2626"/>
        </w:tabs>
        <w:spacing w:line="360" w:lineRule="auto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ab/>
      </w:r>
    </w:p>
    <w:tbl>
      <w:tblPr>
        <w:tblStyle w:val="14"/>
        <w:tblW w:w="9072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9072"/>
      </w:tblGrid>
      <w:tr w14:paraId="6562B4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408" w:hRule="atLeast"/>
          <w:jc w:val="center"/>
        </w:trPr>
        <w:tc>
          <w:tcPr>
            <w:tcW w:w="9072" w:type="dxa"/>
            <w:vAlign w:val="center"/>
          </w:tcPr>
          <w:p w14:paraId="6C6290E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sz w:val="72"/>
              </w:rPr>
            </w:pPr>
            <w:r>
              <w:rPr>
                <w:rFonts w:hint="eastAsia" w:ascii="宋体" w:hAnsi="宋体" w:eastAsia="宋体" w:cs="宋体"/>
                <w:sz w:val="72"/>
              </w:rPr>
              <w:t>产权交易平台</w:t>
            </w:r>
          </w:p>
          <w:p w14:paraId="692FAE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sz w:val="48"/>
                <w:szCs w:val="48"/>
              </w:rPr>
            </w:pPr>
            <w:r>
              <w:rPr>
                <w:rFonts w:hint="eastAsia" w:ascii="宋体" w:hAnsi="宋体" w:eastAsia="宋体" w:cs="宋体"/>
                <w:sz w:val="48"/>
                <w:szCs w:val="48"/>
              </w:rPr>
              <w:t>竞买人参拍操作手册</w:t>
            </w:r>
          </w:p>
          <w:p w14:paraId="6539619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/>
                <w:sz w:val="44"/>
                <w:szCs w:val="44"/>
              </w:rPr>
              <w:t>V 1.1</w:t>
            </w:r>
          </w:p>
        </w:tc>
      </w:tr>
    </w:tbl>
    <w:p w14:paraId="16B384FE">
      <w:pPr>
        <w:spacing w:line="360" w:lineRule="auto"/>
        <w:rPr>
          <w:rFonts w:hint="eastAsia" w:ascii="宋体" w:hAnsi="宋体" w:eastAsia="宋体" w:cs="宋体"/>
        </w:rPr>
      </w:pPr>
    </w:p>
    <w:p w14:paraId="619043E8">
      <w:pPr>
        <w:spacing w:line="480" w:lineRule="auto"/>
        <w:jc w:val="center"/>
        <w:rPr>
          <w:rFonts w:hint="eastAsia" w:ascii="宋体" w:hAnsi="宋体" w:eastAsia="宋体" w:cs="宋体"/>
          <w:b/>
          <w:bCs/>
          <w:sz w:val="52"/>
          <w:szCs w:val="52"/>
        </w:rPr>
      </w:pPr>
    </w:p>
    <w:p w14:paraId="2AD75B06">
      <w:pPr>
        <w:spacing w:line="480" w:lineRule="auto"/>
        <w:jc w:val="center"/>
        <w:rPr>
          <w:rFonts w:hint="eastAsia" w:ascii="宋体" w:hAnsi="宋体" w:eastAsia="宋体" w:cs="宋体"/>
          <w:b/>
          <w:bCs/>
          <w:sz w:val="52"/>
          <w:szCs w:val="52"/>
        </w:rPr>
      </w:pPr>
    </w:p>
    <w:p w14:paraId="7C56AC93">
      <w:pPr>
        <w:spacing w:line="480" w:lineRule="auto"/>
        <w:jc w:val="center"/>
        <w:rPr>
          <w:rFonts w:hint="eastAsia" w:ascii="宋体" w:hAnsi="宋体" w:eastAsia="宋体" w:cs="宋体"/>
          <w:b/>
          <w:bCs/>
          <w:sz w:val="52"/>
          <w:szCs w:val="52"/>
        </w:rPr>
      </w:pPr>
    </w:p>
    <w:p w14:paraId="1C9A0FEB">
      <w:pPr>
        <w:spacing w:line="480" w:lineRule="auto"/>
        <w:jc w:val="center"/>
        <w:rPr>
          <w:rFonts w:hint="eastAsia" w:ascii="宋体" w:hAnsi="宋体" w:eastAsia="宋体" w:cs="宋体"/>
          <w:b/>
          <w:bCs/>
          <w:sz w:val="52"/>
          <w:szCs w:val="52"/>
        </w:rPr>
      </w:pPr>
    </w:p>
    <w:sdt>
      <w:sdtPr>
        <w:rPr>
          <w:rFonts w:hint="eastAsia" w:ascii="宋体" w:hAnsi="宋体" w:eastAsia="宋体" w:cs="宋体"/>
          <w:b/>
          <w:bCs/>
          <w:sz w:val="52"/>
          <w:szCs w:val="52"/>
        </w:rPr>
        <w:id w:val="147466836"/>
        <w15:color w:val="DBDBDB"/>
      </w:sdtPr>
      <w:sdtEndPr>
        <w:rPr>
          <w:rFonts w:hint="eastAsia" w:ascii="宋体" w:hAnsi="宋体" w:eastAsia="宋体" w:cs="宋体"/>
          <w:b/>
          <w:bCs/>
          <w:sz w:val="24"/>
          <w:szCs w:val="24"/>
        </w:rPr>
      </w:sdtEndPr>
      <w:sdtContent>
        <w:p w14:paraId="6017EE35">
          <w:pPr>
            <w:spacing w:line="480" w:lineRule="auto"/>
            <w:jc w:val="center"/>
            <w:rPr>
              <w:rFonts w:hint="eastAsia" w:ascii="宋体" w:hAnsi="宋体" w:eastAsia="宋体" w:cs="宋体"/>
              <w:b/>
              <w:bCs/>
              <w:sz w:val="40"/>
              <w:szCs w:val="40"/>
            </w:rPr>
          </w:pPr>
          <w:r>
            <w:rPr>
              <w:rFonts w:hint="eastAsia" w:ascii="宋体" w:hAnsi="宋体" w:eastAsia="宋体" w:cs="宋体"/>
              <w:b/>
              <w:bCs/>
              <w:sz w:val="40"/>
              <w:szCs w:val="40"/>
            </w:rPr>
            <w:t>目 录</w:t>
          </w:r>
        </w:p>
        <w:p w14:paraId="7CE9AD86">
          <w:pPr>
            <w:spacing w:line="480" w:lineRule="auto"/>
            <w:jc w:val="center"/>
            <w:rPr>
              <w:rFonts w:hint="eastAsia" w:ascii="宋体" w:hAnsi="宋体" w:eastAsia="宋体" w:cs="宋体"/>
              <w:b/>
              <w:bCs/>
              <w:sz w:val="40"/>
              <w:szCs w:val="40"/>
            </w:rPr>
          </w:pPr>
        </w:p>
        <w:p w14:paraId="111A6404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TOC \o "1-2" \h \u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fldChar w:fldCharType="begin"/>
          </w:r>
          <w:r>
            <w:instrText xml:space="preserve"> HYPERLINK \l "_Toc20522"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第一章、编写目的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_Toc20522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1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3C7B98FD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fldChar w:fldCharType="begin"/>
          </w:r>
          <w:r>
            <w:instrText xml:space="preserve"> HYPERLINK \l "_Toc28025"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第二章、账号开通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_Toc28025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1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6CA8E9D7">
          <w:pPr>
            <w:pStyle w:val="11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fldChar w:fldCharType="begin"/>
          </w:r>
          <w:r>
            <w:instrText xml:space="preserve"> HYPERLINK \l "_Toc12611"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2.1意向方（买方）注册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_Toc12611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1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271FC555">
          <w:pPr>
            <w:pStyle w:val="11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fldChar w:fldCharType="begin"/>
          </w:r>
          <w:r>
            <w:instrText xml:space="preserve"> HYPERLINK \l "_Toc27318"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2.2意向方（买方）登录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_Toc27318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3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08E21AD5">
          <w:pPr>
            <w:pStyle w:val="11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fldChar w:fldCharType="begin"/>
          </w:r>
          <w:r>
            <w:instrText xml:space="preserve"> HYPERLINK \l "_Toc26650"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2.3钱包申请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_Toc26650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5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652C25C2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fldChar w:fldCharType="begin"/>
          </w:r>
          <w:r>
            <w:instrText xml:space="preserve"> HYPERLINK \l "_Toc2594"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第三章、报名流程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_Toc2594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7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69B16F25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fldChar w:fldCharType="begin"/>
          </w:r>
          <w:r>
            <w:instrText xml:space="preserve"> HYPERLINK \l "_Toc20259"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第四章、保证金交纳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_Toc20259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8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5701DF51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fldChar w:fldCharType="begin"/>
          </w:r>
          <w:r>
            <w:instrText xml:space="preserve"> HYPERLINK \l "_Toc20935"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  <w:lang w:bidi="ar"/>
            </w:rPr>
            <w:t>第五章、</w:t>
          </w:r>
          <w:r>
            <w:rPr>
              <w:rFonts w:hint="eastAsia" w:ascii="宋体" w:hAnsi="宋体" w:eastAsia="宋体" w:cs="宋体"/>
              <w:sz w:val="28"/>
              <w:szCs w:val="28"/>
            </w:rPr>
            <w:t>竞价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_Toc20935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9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7DE11072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fldChar w:fldCharType="begin"/>
          </w:r>
          <w:r>
            <w:instrText xml:space="preserve"> HYPERLINK \l "_Toc7187"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  <w:lang w:bidi="ar"/>
            </w:rPr>
            <w:t>第六章、</w:t>
          </w:r>
          <w:r>
            <w:rPr>
              <w:rFonts w:hint="eastAsia" w:ascii="宋体" w:hAnsi="宋体" w:eastAsia="宋体" w:cs="宋体"/>
              <w:sz w:val="28"/>
              <w:szCs w:val="28"/>
            </w:rPr>
            <w:t>成交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_Toc7187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12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3E40E671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fldChar w:fldCharType="begin"/>
          </w:r>
          <w:r>
            <w:instrText xml:space="preserve"> HYPERLINK \l "_Toc12536"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第七章、提货信息确认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_Toc12536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13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5AD54ECC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fldChar w:fldCharType="begin"/>
          </w:r>
          <w:r>
            <w:instrText xml:space="preserve"> HYPERLINK \l "_Toc6046"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第八章、会员钱包管理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_Toc6046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14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443CC878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fldChar w:fldCharType="begin"/>
          </w:r>
          <w:r>
            <w:instrText xml:space="preserve"> HYPERLINK \l "_Toc12696"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第九章、发票管理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_Toc12696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14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6AE36DB2">
          <w:pPr>
            <w:spacing w:line="480" w:lineRule="auto"/>
            <w:rPr>
              <w:rFonts w:hint="eastAsia" w:ascii="宋体" w:hAnsi="宋体" w:eastAsia="宋体" w:cs="宋体"/>
              <w:sz w:val="24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</w:sdtContent>
    </w:sdt>
    <w:p w14:paraId="0AB02507">
      <w:pPr>
        <w:pStyle w:val="2"/>
        <w:spacing w:before="100" w:after="100" w:line="360" w:lineRule="auto"/>
        <w:rPr>
          <w:rFonts w:cs="宋体"/>
          <w:sz w:val="36"/>
          <w:szCs w:val="36"/>
        </w:rPr>
      </w:pPr>
      <w:bookmarkStart w:id="0" w:name="_Toc20522"/>
    </w:p>
    <w:p w14:paraId="036F86E6">
      <w:pPr>
        <w:pStyle w:val="2"/>
        <w:spacing w:before="100" w:after="100" w:line="360" w:lineRule="auto"/>
        <w:rPr>
          <w:rFonts w:cs="宋体"/>
          <w:sz w:val="36"/>
          <w:szCs w:val="36"/>
        </w:rPr>
      </w:pPr>
    </w:p>
    <w:p w14:paraId="7DE5BB84">
      <w:pPr>
        <w:pStyle w:val="2"/>
        <w:spacing w:before="100" w:after="100" w:line="360" w:lineRule="auto"/>
        <w:rPr>
          <w:rFonts w:cs="宋体"/>
          <w:sz w:val="36"/>
          <w:szCs w:val="36"/>
        </w:rPr>
      </w:pPr>
    </w:p>
    <w:p w14:paraId="4ACD05DD">
      <w:pPr>
        <w:pStyle w:val="2"/>
        <w:spacing w:before="100" w:after="100" w:line="360" w:lineRule="auto"/>
        <w:rPr>
          <w:rFonts w:cs="宋体"/>
          <w:sz w:val="36"/>
          <w:szCs w:val="36"/>
        </w:rPr>
      </w:pPr>
    </w:p>
    <w:p w14:paraId="011B1EFE">
      <w:pPr>
        <w:pStyle w:val="2"/>
        <w:spacing w:before="100" w:after="100" w:line="360" w:lineRule="auto"/>
        <w:rPr>
          <w:rFonts w:cs="宋体"/>
          <w:sz w:val="36"/>
          <w:szCs w:val="36"/>
        </w:rPr>
      </w:pPr>
      <w:r>
        <w:rPr>
          <w:rFonts w:cs="宋体"/>
          <w:sz w:val="36"/>
          <w:szCs w:val="36"/>
        </w:rPr>
        <w:t>第一章、编写目的</w:t>
      </w:r>
      <w:bookmarkEnd w:id="0"/>
    </w:p>
    <w:p w14:paraId="08809C31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本手册主要是对产权交易平台中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意向方（买方）</w:t>
      </w:r>
      <w:r>
        <w:rPr>
          <w:rFonts w:hint="eastAsia" w:ascii="宋体" w:hAnsi="宋体" w:eastAsia="宋体" w:cs="宋体"/>
          <w:sz w:val="28"/>
          <w:szCs w:val="28"/>
        </w:rPr>
        <w:t>角色的主要功能和操作界面作简要说明。</w:t>
      </w:r>
    </w:p>
    <w:p w14:paraId="48F4B3D5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请系统使用者务必认真阅读此手册，以便能够准确高效的完成相关的操作。</w:t>
      </w:r>
    </w:p>
    <w:p w14:paraId="6EA3C1EA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本手册的预期阅读对象为：使用产权交易平台的意向方。</w:t>
      </w:r>
    </w:p>
    <w:p w14:paraId="1B5313C3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平台登录地址：</w:t>
      </w:r>
      <w:r>
        <w:fldChar w:fldCharType="begin"/>
      </w:r>
      <w:r>
        <w:instrText xml:space="preserve"> HYPERLINK "https://zccz.szggzy.com/" </w:instrText>
      </w:r>
      <w:r>
        <w:fldChar w:fldCharType="separate"/>
      </w:r>
      <w:r>
        <w:rPr>
          <w:rStyle w:val="18"/>
          <w:rFonts w:hint="eastAsia" w:ascii="宋体" w:hAnsi="宋体" w:eastAsia="宋体" w:cs="宋体"/>
          <w:sz w:val="28"/>
          <w:szCs w:val="28"/>
        </w:rPr>
        <w:t>https://zccz.szggzy.com/</w:t>
      </w:r>
      <w:r>
        <w:rPr>
          <w:rStyle w:val="18"/>
          <w:rFonts w:hint="eastAsia" w:ascii="宋体" w:hAnsi="宋体" w:eastAsia="宋体" w:cs="宋体"/>
          <w:sz w:val="28"/>
          <w:szCs w:val="28"/>
        </w:rPr>
        <w:fldChar w:fldCharType="end"/>
      </w:r>
    </w:p>
    <w:p w14:paraId="5D29ED17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注意事项：请您使用IE11及以上版本或Google、火狐等主流浏览器使用本系统。</w:t>
      </w:r>
    </w:p>
    <w:p w14:paraId="2C796F9C">
      <w:pPr>
        <w:pStyle w:val="2"/>
        <w:spacing w:line="360" w:lineRule="auto"/>
        <w:rPr>
          <w:rFonts w:cs="宋体"/>
          <w:sz w:val="36"/>
          <w:szCs w:val="36"/>
        </w:rPr>
      </w:pPr>
      <w:bookmarkStart w:id="1" w:name="_Toc28025"/>
      <w:r>
        <w:rPr>
          <w:rFonts w:cs="宋体"/>
          <w:sz w:val="36"/>
          <w:szCs w:val="36"/>
        </w:rPr>
        <w:t>第二章、账号开通</w:t>
      </w:r>
      <w:bookmarkEnd w:id="1"/>
    </w:p>
    <w:p w14:paraId="49BB8EDC">
      <w:pPr>
        <w:pStyle w:val="3"/>
        <w:spacing w:line="360" w:lineRule="auto"/>
        <w:rPr>
          <w:rFonts w:cs="宋体"/>
          <w:sz w:val="28"/>
          <w:szCs w:val="28"/>
        </w:rPr>
      </w:pPr>
      <w:bookmarkStart w:id="2" w:name="_Toc12611"/>
      <w:bookmarkStart w:id="3" w:name="_Toc23072"/>
      <w:r>
        <w:rPr>
          <w:rFonts w:cs="宋体"/>
          <w:sz w:val="28"/>
          <w:szCs w:val="28"/>
        </w:rPr>
        <w:t>2.1意向方（买方）注册</w:t>
      </w:r>
      <w:bookmarkEnd w:id="2"/>
      <w:bookmarkEnd w:id="3"/>
    </w:p>
    <w:p w14:paraId="3B6469EF">
      <w:pPr>
        <w:pStyle w:val="21"/>
        <w:spacing w:line="360" w:lineRule="auto"/>
        <w:ind w:firstLine="0" w:firstLineChars="0"/>
        <w:rPr>
          <w:rStyle w:val="18"/>
          <w:rFonts w:hint="eastAsia" w:ascii="宋体" w:hAnsi="宋体" w:eastAsia="宋体" w:cs="宋体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sz w:val="28"/>
          <w:szCs w:val="28"/>
        </w:rPr>
        <w:t>在浏览器输入：</w:t>
      </w:r>
      <w:r>
        <w:fldChar w:fldCharType="begin"/>
      </w:r>
      <w:r>
        <w:instrText xml:space="preserve"> HYPERLINK "https://zccz.szggzy.com/" </w:instrText>
      </w:r>
      <w:r>
        <w:fldChar w:fldCharType="separate"/>
      </w:r>
      <w:r>
        <w:rPr>
          <w:rStyle w:val="18"/>
          <w:rFonts w:hint="eastAsia" w:ascii="宋体" w:hAnsi="宋体" w:eastAsia="宋体" w:cs="宋体"/>
          <w:sz w:val="24"/>
        </w:rPr>
        <w:t>https://zccz.szggzy.com/</w:t>
      </w:r>
      <w:r>
        <w:rPr>
          <w:rStyle w:val="18"/>
          <w:rFonts w:hint="eastAsia" w:ascii="宋体" w:hAnsi="宋体" w:eastAsia="宋体" w:cs="宋体"/>
          <w:sz w:val="24"/>
        </w:rPr>
        <w:fldChar w:fldCharType="end"/>
      </w:r>
      <w:r>
        <w:rPr>
          <w:rStyle w:val="18"/>
          <w:rFonts w:hint="eastAsia" w:ascii="宋体" w:hAnsi="宋体" w:eastAsia="宋体" w:cs="宋体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点击右上角注册</w:t>
      </w:r>
    </w:p>
    <w:p w14:paraId="1640D1C4">
      <w:pPr>
        <w:snapToGrid w:val="0"/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70500" cy="2755265"/>
            <wp:effectExtent l="0" t="0" r="6350" b="6985"/>
            <wp:docPr id="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5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8C03B">
      <w:pPr>
        <w:snapToGrid w:val="0"/>
        <w:spacing w:line="360" w:lineRule="auto"/>
        <w:rPr>
          <w:rFonts w:hint="eastAsia" w:ascii="宋体" w:hAnsi="宋体" w:eastAsia="宋体" w:cs="宋体"/>
        </w:rPr>
      </w:pPr>
    </w:p>
    <w:p w14:paraId="4FBBFACF">
      <w:pPr>
        <w:pStyle w:val="21"/>
        <w:spacing w:line="360" w:lineRule="auto"/>
        <w:ind w:firstLine="0" w:firstLine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进入注册页面，如果是企业主体注册</w:t>
      </w:r>
      <w:r>
        <w:rPr>
          <w:rFonts w:hint="eastAsia" w:ascii="宋体" w:hAnsi="宋体" w:eastAsia="宋体" w:cs="宋体"/>
          <w:sz w:val="28"/>
          <w:szCs w:val="28"/>
        </w:rPr>
        <w:t>选择【企业、单位注册】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，如果是自然人注册，选择【自然人注册】，后续根据提示进行操作即可</w:t>
      </w:r>
    </w:p>
    <w:p w14:paraId="7991B049">
      <w:pPr>
        <w:pStyle w:val="21"/>
        <w:spacing w:line="360" w:lineRule="auto"/>
        <w:ind w:firstLine="0" w:firstLine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drawing>
          <wp:inline distT="0" distB="0" distL="114300" distR="114300">
            <wp:extent cx="5266690" cy="2523490"/>
            <wp:effectExtent l="0" t="0" r="10160" b="10160"/>
            <wp:docPr id="3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4DF99">
      <w:pPr>
        <w:pStyle w:val="21"/>
        <w:spacing w:line="360" w:lineRule="auto"/>
        <w:ind w:firstLine="0" w:firstLineChars="0"/>
        <w:rPr>
          <w:rFonts w:hint="eastAsia" w:ascii="宋体" w:hAnsi="宋体" w:eastAsia="宋体" w:cs="宋体"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color w:val="FF0000"/>
          <w:sz w:val="28"/>
          <w:szCs w:val="28"/>
        </w:rPr>
        <w:t>重要步骤：信息校验完成之后，弹出注册成功信息，此时需要点击【开通业务】按钮</w:t>
      </w:r>
    </w:p>
    <w:p w14:paraId="52A2CCD1">
      <w:pPr>
        <w:spacing w:line="360" w:lineRule="auto"/>
        <w:rPr>
          <w:rFonts w:hint="eastAsia" w:ascii="宋体" w:hAnsi="宋体" w:eastAsia="宋体" w:cs="宋体"/>
        </w:rPr>
      </w:pPr>
      <w:r>
        <w:drawing>
          <wp:inline distT="0" distB="0" distL="114300" distR="114300">
            <wp:extent cx="5266690" cy="3041650"/>
            <wp:effectExtent l="0" t="0" r="10160" b="6350"/>
            <wp:docPr id="3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68978">
      <w:pPr>
        <w:spacing w:line="360" w:lineRule="auto"/>
        <w:rPr>
          <w:rFonts w:hint="eastAsia" w:ascii="宋体" w:hAnsi="宋体" w:eastAsia="宋体" w:cs="宋体"/>
          <w:color w:val="FF0000"/>
          <w:sz w:val="28"/>
          <w:szCs w:val="28"/>
        </w:rPr>
      </w:pPr>
    </w:p>
    <w:p w14:paraId="71EC5027">
      <w:pPr>
        <w:spacing w:line="360" w:lineRule="auto"/>
        <w:rPr>
          <w:rFonts w:hint="eastAsia" w:ascii="宋体" w:hAnsi="宋体" w:eastAsia="宋体" w:cs="宋体"/>
          <w:color w:val="FF0000"/>
          <w:sz w:val="28"/>
          <w:szCs w:val="28"/>
        </w:rPr>
      </w:pPr>
    </w:p>
    <w:p w14:paraId="56A9D5BD">
      <w:pPr>
        <w:spacing w:line="360" w:lineRule="auto"/>
        <w:rPr>
          <w:rFonts w:hint="eastAsia" w:ascii="宋体" w:hAnsi="宋体" w:eastAsia="宋体" w:cs="宋体"/>
          <w:color w:val="FF0000"/>
          <w:sz w:val="28"/>
          <w:szCs w:val="28"/>
        </w:rPr>
      </w:pPr>
    </w:p>
    <w:p w14:paraId="7277A828">
      <w:pPr>
        <w:spacing w:line="360" w:lineRule="auto"/>
        <w:rPr>
          <w:rFonts w:hint="eastAsia" w:ascii="宋体" w:hAnsi="宋体" w:eastAsia="宋体" w:cs="宋体"/>
          <w:color w:val="FF0000"/>
          <w:sz w:val="28"/>
          <w:szCs w:val="28"/>
        </w:rPr>
      </w:pPr>
    </w:p>
    <w:p w14:paraId="4A985EC4">
      <w:pPr>
        <w:spacing w:line="360" w:lineRule="auto"/>
        <w:rPr>
          <w:rFonts w:hint="eastAsia" w:ascii="宋体" w:hAnsi="宋体" w:eastAsia="宋体" w:cs="宋体"/>
          <w:color w:val="FF0000"/>
          <w:sz w:val="28"/>
          <w:szCs w:val="36"/>
        </w:rPr>
      </w:pPr>
      <w:r>
        <w:rPr>
          <w:rFonts w:hint="eastAsia" w:ascii="宋体" w:hAnsi="宋体" w:eastAsia="宋体" w:cs="宋体"/>
          <w:color w:val="FF0000"/>
          <w:sz w:val="28"/>
          <w:szCs w:val="28"/>
        </w:rPr>
        <w:t>重要步骤：</w:t>
      </w:r>
      <w:r>
        <w:rPr>
          <w:rFonts w:hint="eastAsia" w:ascii="宋体" w:hAnsi="宋体" w:eastAsia="宋体" w:cs="宋体"/>
          <w:color w:val="FF0000"/>
          <w:sz w:val="28"/>
          <w:szCs w:val="36"/>
        </w:rPr>
        <w:t>进入业务开通界面，选择【产权交易系统】，选择开通【意向方】角色权限即可</w:t>
      </w:r>
    </w:p>
    <w:p w14:paraId="5278742C">
      <w:pPr>
        <w:spacing w:line="360" w:lineRule="auto"/>
      </w:pPr>
      <w:r>
        <w:drawing>
          <wp:inline distT="0" distB="0" distL="114300" distR="114300">
            <wp:extent cx="5266690" cy="2523490"/>
            <wp:effectExtent l="0" t="0" r="10160" b="10160"/>
            <wp:docPr id="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D9632">
      <w:pPr>
        <w:spacing w:line="360" w:lineRule="auto"/>
        <w:rPr>
          <w:rFonts w:hint="eastAsia" w:ascii="宋体" w:hAnsi="宋体" w:eastAsia="宋体" w:cs="宋体"/>
          <w:b/>
          <w:bCs/>
          <w:color w:val="FF0000"/>
          <w:sz w:val="28"/>
          <w:szCs w:val="36"/>
        </w:rPr>
      </w:pPr>
      <w:r>
        <w:rPr>
          <w:rFonts w:hint="eastAsia"/>
          <w:sz w:val="28"/>
          <w:szCs w:val="36"/>
        </w:rPr>
        <w:t>如果注册完成没有点击开通业务按钮的，后续可在登录后的【统一工作台】，【我的业务】点击【开通业务】，</w:t>
      </w:r>
      <w:r>
        <w:rPr>
          <w:rFonts w:hint="eastAsia" w:ascii="宋体" w:hAnsi="宋体" w:eastAsia="宋体" w:cs="宋体"/>
          <w:sz w:val="28"/>
          <w:szCs w:val="36"/>
        </w:rPr>
        <w:t>选择【产权交易系统】，选择开通【意向方】角色权限即可</w:t>
      </w:r>
    </w:p>
    <w:p w14:paraId="0E47F0AE">
      <w:pPr>
        <w:spacing w:line="360" w:lineRule="auto"/>
      </w:pPr>
      <w:r>
        <w:drawing>
          <wp:inline distT="0" distB="0" distL="114300" distR="114300">
            <wp:extent cx="5266690" cy="2523490"/>
            <wp:effectExtent l="0" t="0" r="10160" b="10160"/>
            <wp:docPr id="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90811">
      <w:pPr>
        <w:pStyle w:val="21"/>
        <w:spacing w:line="360" w:lineRule="auto"/>
        <w:ind w:firstLine="0" w:firstLineChars="0"/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注意：</w:t>
      </w:r>
    </w:p>
    <w:p w14:paraId="1EE7719C">
      <w:pPr>
        <w:pStyle w:val="21"/>
        <w:spacing w:line="360" w:lineRule="auto"/>
        <w:ind w:firstLine="0" w:firstLineChars="0"/>
        <w:rPr>
          <w:rFonts w:hint="eastAsia" w:ascii="宋体" w:hAnsi="宋体" w:eastAsia="宋体" w:cs="宋体"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color w:val="FF0000"/>
          <w:sz w:val="28"/>
          <w:szCs w:val="28"/>
        </w:rPr>
        <w:t>如果已办理过【CA】或者【广东省统一身份认证】或者有【电子营业执照】的，可点击右上角登录按钮直接登录，登录后补充信息，前往工作台，选择【产权交易系统】，选择开通【意向方】角色权限即可</w:t>
      </w:r>
    </w:p>
    <w:p w14:paraId="2FFE23D9">
      <w:pPr>
        <w:pStyle w:val="3"/>
        <w:spacing w:line="360" w:lineRule="auto"/>
        <w:rPr>
          <w:rFonts w:cs="宋体"/>
          <w:sz w:val="28"/>
          <w:szCs w:val="28"/>
        </w:rPr>
      </w:pPr>
      <w:bookmarkStart w:id="4" w:name="_Toc32089"/>
      <w:bookmarkStart w:id="5" w:name="_Toc27318"/>
      <w:r>
        <w:rPr>
          <w:rFonts w:cs="宋体"/>
          <w:sz w:val="28"/>
          <w:szCs w:val="28"/>
        </w:rPr>
        <w:t>2.2意向方（买方）登录</w:t>
      </w:r>
      <w:bookmarkEnd w:id="4"/>
      <w:bookmarkEnd w:id="5"/>
    </w:p>
    <w:p w14:paraId="43B1FBD2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浏览器输入：</w:t>
      </w:r>
      <w:r>
        <w:fldChar w:fldCharType="begin"/>
      </w:r>
      <w:r>
        <w:instrText xml:space="preserve"> HYPERLINK "https://zccz.szggzy.com/" </w:instrText>
      </w:r>
      <w:r>
        <w:fldChar w:fldCharType="separate"/>
      </w:r>
      <w:r>
        <w:rPr>
          <w:rStyle w:val="17"/>
          <w:rFonts w:hint="eastAsia" w:ascii="宋体" w:hAnsi="宋体" w:eastAsia="宋体" w:cs="宋体"/>
          <w:sz w:val="28"/>
          <w:szCs w:val="28"/>
        </w:rPr>
        <w:t>https://zccz.szggzy.com/</w:t>
      </w:r>
      <w:r>
        <w:rPr>
          <w:rStyle w:val="17"/>
          <w:rFonts w:hint="eastAsia" w:ascii="宋体" w:hAnsi="宋体" w:eastAsia="宋体" w:cs="宋体"/>
          <w:sz w:val="28"/>
          <w:szCs w:val="28"/>
        </w:rPr>
        <w:fldChar w:fldCharType="end"/>
      </w:r>
    </w:p>
    <w:p w14:paraId="1E1685C7">
      <w:pPr>
        <w:numPr>
          <w:ilvl w:val="0"/>
          <w:numId w:val="2"/>
        </w:num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进入网站，点击网站右上角【登录】，输入账号密码点击【登录】</w:t>
      </w:r>
    </w:p>
    <w:p w14:paraId="6116D8A4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66690" cy="2329180"/>
            <wp:effectExtent l="0" t="0" r="6350" b="2540"/>
            <wp:docPr id="1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A6743">
      <w:pPr>
        <w:spacing w:line="360" w:lineRule="auto"/>
        <w:rPr>
          <w:rFonts w:hint="eastAsia" w:ascii="宋体" w:hAnsi="宋体" w:eastAsia="宋体" w:cs="宋体"/>
          <w:b/>
          <w:bCs/>
          <w:color w:val="FF0000"/>
          <w:sz w:val="28"/>
          <w:szCs w:val="36"/>
        </w:rPr>
      </w:pPr>
    </w:p>
    <w:p w14:paraId="4481F201">
      <w:pPr>
        <w:spacing w:line="360" w:lineRule="auto"/>
        <w:rPr>
          <w:rFonts w:hint="eastAsia" w:ascii="宋体" w:hAnsi="宋体" w:eastAsia="宋体" w:cs="宋体"/>
          <w:b/>
          <w:bCs/>
          <w:color w:val="FF0000"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36"/>
        </w:rPr>
        <w:t>注意：</w:t>
      </w:r>
    </w:p>
    <w:p w14:paraId="482DF5D1">
      <w:pPr>
        <w:spacing w:line="360" w:lineRule="auto"/>
        <w:rPr>
          <w:rFonts w:hint="eastAsia" w:ascii="宋体" w:hAnsi="宋体" w:eastAsia="宋体" w:cs="宋体"/>
          <w:color w:val="FF0000"/>
          <w:sz w:val="28"/>
          <w:szCs w:val="36"/>
        </w:rPr>
      </w:pPr>
      <w:r>
        <w:rPr>
          <w:rFonts w:hint="eastAsia" w:ascii="宋体" w:hAnsi="宋体" w:eastAsia="宋体" w:cs="宋体"/>
          <w:color w:val="FF0000"/>
          <w:sz w:val="28"/>
          <w:szCs w:val="36"/>
        </w:rPr>
        <w:t>1、新注册的企业账号，【登录账号】为【统一社会信用代码】</w:t>
      </w:r>
    </w:p>
    <w:p w14:paraId="263C2A85">
      <w:pPr>
        <w:spacing w:line="360" w:lineRule="auto"/>
        <w:rPr>
          <w:rFonts w:hint="eastAsia" w:ascii="宋体" w:hAnsi="宋体" w:eastAsia="宋体" w:cs="宋体"/>
          <w:color w:val="FF0000"/>
          <w:sz w:val="28"/>
          <w:szCs w:val="36"/>
        </w:rPr>
      </w:pPr>
      <w:r>
        <w:rPr>
          <w:rFonts w:hint="eastAsia" w:ascii="宋体" w:hAnsi="宋体" w:eastAsia="宋体" w:cs="宋体"/>
          <w:color w:val="FF0000"/>
          <w:sz w:val="28"/>
          <w:szCs w:val="36"/>
        </w:rPr>
        <w:t>2、新注册的自然人账号，【登录账号】为【身份证号码】</w:t>
      </w:r>
    </w:p>
    <w:p w14:paraId="6D37F0C1">
      <w:pPr>
        <w:spacing w:line="360" w:lineRule="auto"/>
      </w:pPr>
      <w:r>
        <w:drawing>
          <wp:inline distT="0" distB="0" distL="114300" distR="114300">
            <wp:extent cx="5266690" cy="2523490"/>
            <wp:effectExtent l="0" t="0" r="10160" b="10160"/>
            <wp:docPr id="3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3BBF3">
      <w:pPr>
        <w:spacing w:line="360" w:lineRule="auto"/>
        <w:rPr>
          <w:sz w:val="28"/>
          <w:szCs w:val="36"/>
        </w:rPr>
      </w:pPr>
    </w:p>
    <w:p w14:paraId="4A35E1EB">
      <w:pPr>
        <w:spacing w:line="360" w:lineRule="auto"/>
        <w:rPr>
          <w:sz w:val="28"/>
          <w:szCs w:val="36"/>
        </w:rPr>
      </w:pPr>
    </w:p>
    <w:p w14:paraId="161BFE0C">
      <w:p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登录成功后，可点击网站右上角【个人中心】可进入【个人工作台】</w:t>
      </w:r>
    </w:p>
    <w:p w14:paraId="4AEDD56B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72405" cy="2390140"/>
            <wp:effectExtent l="0" t="0" r="635" b="2540"/>
            <wp:docPr id="2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9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A9705">
      <w:pPr>
        <w:spacing w:line="360" w:lineRule="auto"/>
        <w:rPr>
          <w:rFonts w:hint="eastAsia" w:ascii="宋体" w:hAnsi="宋体" w:eastAsia="宋体" w:cs="宋体"/>
        </w:rPr>
      </w:pPr>
    </w:p>
    <w:p w14:paraId="46D1344B">
      <w:pPr>
        <w:spacing w:line="360" w:lineRule="auto"/>
        <w:rPr>
          <w:rFonts w:hint="eastAsia" w:ascii="宋体" w:hAnsi="宋体" w:eastAsia="宋体" w:cs="宋体"/>
        </w:rPr>
      </w:pPr>
    </w:p>
    <w:p w14:paraId="21215984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/>
          <w:sz w:val="28"/>
          <w:szCs w:val="36"/>
        </w:rPr>
        <w:t>后续【开通钱包】，【报名】，【交保证金】，【交成交款】，【提货确认】均可通过工作台完成</w:t>
      </w:r>
    </w:p>
    <w:p w14:paraId="1773E928">
      <w:pPr>
        <w:spacing w:line="360" w:lineRule="auto"/>
        <w:rPr>
          <w:rFonts w:hint="eastAsia" w:ascii="宋体" w:hAnsi="宋体" w:eastAsia="宋体" w:cs="宋体"/>
        </w:rPr>
      </w:pPr>
      <w:r>
        <w:drawing>
          <wp:inline distT="0" distB="0" distL="114300" distR="114300">
            <wp:extent cx="5266690" cy="2523490"/>
            <wp:effectExtent l="0" t="0" r="10160" b="10160"/>
            <wp:docPr id="4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901A4">
      <w:pPr>
        <w:spacing w:line="360" w:lineRule="auto"/>
        <w:rPr>
          <w:rFonts w:hint="eastAsia" w:ascii="宋体" w:hAnsi="宋体" w:eastAsia="宋体" w:cs="宋体"/>
        </w:rPr>
      </w:pPr>
    </w:p>
    <w:p w14:paraId="092F0A0F">
      <w:pPr>
        <w:spacing w:line="360" w:lineRule="auto"/>
        <w:rPr>
          <w:rFonts w:hint="eastAsia" w:ascii="宋体" w:hAnsi="宋体" w:eastAsia="宋体" w:cs="宋体"/>
        </w:rPr>
      </w:pPr>
    </w:p>
    <w:p w14:paraId="31F34F19">
      <w:pPr>
        <w:spacing w:line="360" w:lineRule="auto"/>
        <w:rPr>
          <w:rFonts w:hint="eastAsia" w:ascii="宋体" w:hAnsi="宋体" w:eastAsia="宋体" w:cs="宋体"/>
        </w:rPr>
      </w:pPr>
    </w:p>
    <w:p w14:paraId="72816E7C">
      <w:pPr>
        <w:spacing w:line="360" w:lineRule="auto"/>
        <w:rPr>
          <w:rFonts w:hint="eastAsia" w:ascii="宋体" w:hAnsi="宋体" w:eastAsia="宋体" w:cs="宋体"/>
        </w:rPr>
      </w:pPr>
    </w:p>
    <w:p w14:paraId="4E930CAB">
      <w:pPr>
        <w:spacing w:line="360" w:lineRule="auto"/>
        <w:rPr>
          <w:rFonts w:hint="eastAsia" w:ascii="宋体" w:hAnsi="宋体" w:eastAsia="宋体" w:cs="宋体"/>
        </w:rPr>
      </w:pPr>
    </w:p>
    <w:p w14:paraId="10FB7964">
      <w:pPr>
        <w:pStyle w:val="3"/>
        <w:spacing w:line="360" w:lineRule="auto"/>
        <w:rPr>
          <w:rFonts w:cs="宋体"/>
          <w:sz w:val="28"/>
          <w:szCs w:val="28"/>
        </w:rPr>
      </w:pPr>
      <w:bookmarkStart w:id="6" w:name="_Toc26650"/>
      <w:bookmarkStart w:id="7" w:name="_Toc1742754184"/>
      <w:r>
        <w:rPr>
          <w:rFonts w:cs="宋体"/>
          <w:sz w:val="28"/>
          <w:szCs w:val="28"/>
        </w:rPr>
        <w:t>2.3钱包申请</w:t>
      </w:r>
      <w:bookmarkEnd w:id="6"/>
      <w:bookmarkEnd w:id="7"/>
    </w:p>
    <w:p w14:paraId="0F7AE92A">
      <w:pPr>
        <w:rPr>
          <w:rFonts w:eastAsia="宋体"/>
          <w:color w:val="FF0000"/>
        </w:rPr>
      </w:pPr>
      <w:r>
        <w:rPr>
          <w:rFonts w:hint="eastAsia" w:ascii="宋体" w:hAnsi="宋体" w:eastAsia="宋体" w:cs="宋体"/>
          <w:color w:val="FF0000"/>
          <w:sz w:val="28"/>
          <w:szCs w:val="28"/>
        </w:rPr>
        <w:t>温馨提示：为了方便后续快速报名，快速交纳保证金，建议账号开通后尽快进行【钱包申请】</w:t>
      </w:r>
    </w:p>
    <w:p w14:paraId="794FA0A9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登录之后，点击右上角【个人中心】</w:t>
      </w:r>
    </w:p>
    <w:p w14:paraId="7ED35A44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72405" cy="2390140"/>
            <wp:effectExtent l="0" t="0" r="635" b="2540"/>
            <wp:docPr id="8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1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9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7CF89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 w14:paraId="0D3AF20B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8"/>
          <w:szCs w:val="28"/>
        </w:rPr>
        <w:t>进入产权交易系统【工作台】</w:t>
      </w:r>
    </w:p>
    <w:p w14:paraId="296455E8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64150" cy="2640330"/>
            <wp:effectExtent l="0" t="0" r="8890" b="1143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EA9BA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 w14:paraId="7B2B1899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 w14:paraId="09406AD2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点击【资金结算管理】--【会员钱包中心】点击立即申请钱包，按流程指引开通即可</w:t>
      </w:r>
    </w:p>
    <w:p w14:paraId="074E9CFC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70500" cy="2517140"/>
            <wp:effectExtent l="0" t="0" r="6350" b="165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1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926D7">
      <w:pPr>
        <w:pStyle w:val="2"/>
        <w:spacing w:line="360" w:lineRule="auto"/>
        <w:rPr>
          <w:rFonts w:cs="宋体"/>
          <w:sz w:val="30"/>
          <w:szCs w:val="30"/>
        </w:rPr>
      </w:pPr>
      <w:bookmarkStart w:id="8" w:name="_Toc2594"/>
      <w:r>
        <w:rPr>
          <w:rFonts w:cs="宋体"/>
          <w:sz w:val="30"/>
          <w:szCs w:val="30"/>
        </w:rPr>
        <w:t>第三章、报名流程</w:t>
      </w:r>
      <w:bookmarkEnd w:id="8"/>
    </w:p>
    <w:p w14:paraId="24840842">
      <w:pPr>
        <w:pStyle w:val="13"/>
        <w:spacing w:line="360" w:lineRule="auto"/>
        <w:ind w:left="0" w:firstLine="0" w:firstLineChars="0"/>
        <w:jc w:val="both"/>
        <w:rPr>
          <w:rFonts w:hint="eastAsia"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登录后，在产权交易平台网站，可筛选状态为报名中的标的，【点击标的】卡片【进入标的详情】</w:t>
      </w:r>
    </w:p>
    <w:p w14:paraId="783D9315">
      <w:pPr>
        <w:pStyle w:val="13"/>
        <w:spacing w:line="360" w:lineRule="auto"/>
        <w:ind w:left="0" w:firstLine="0" w:firstLineChars="0"/>
        <w:jc w:val="both"/>
        <w:rPr>
          <w:rFonts w:hint="eastAsia" w:hAnsi="宋体" w:eastAsia="宋体" w:cs="宋体"/>
        </w:rPr>
      </w:pPr>
      <w:r>
        <w:rPr>
          <w:rFonts w:hint="eastAsia" w:hAnsi="宋体" w:eastAsia="宋体" w:cs="宋体"/>
        </w:rPr>
        <w:drawing>
          <wp:inline distT="0" distB="0" distL="114300" distR="114300">
            <wp:extent cx="5269865" cy="2632075"/>
            <wp:effectExtent l="0" t="0" r="3175" b="444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3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D4426">
      <w:pPr>
        <w:pStyle w:val="13"/>
        <w:spacing w:line="360" w:lineRule="auto"/>
        <w:ind w:left="0" w:firstLine="0" w:firstLineChars="0"/>
        <w:jc w:val="both"/>
        <w:rPr>
          <w:rFonts w:hint="eastAsia" w:hAnsi="宋体" w:eastAsia="宋体" w:cs="宋体"/>
          <w:sz w:val="28"/>
          <w:szCs w:val="28"/>
        </w:rPr>
      </w:pPr>
    </w:p>
    <w:p w14:paraId="7E7D8CAB">
      <w:pPr>
        <w:pStyle w:val="13"/>
        <w:spacing w:line="360" w:lineRule="auto"/>
        <w:ind w:left="0" w:firstLine="0" w:firstLineChars="0"/>
        <w:jc w:val="both"/>
        <w:rPr>
          <w:rFonts w:hint="eastAsia" w:hAnsi="宋体" w:eastAsia="宋体" w:cs="宋体"/>
          <w:sz w:val="28"/>
          <w:szCs w:val="28"/>
        </w:rPr>
      </w:pPr>
    </w:p>
    <w:p w14:paraId="6D4074ED">
      <w:pPr>
        <w:pStyle w:val="13"/>
        <w:spacing w:line="360" w:lineRule="auto"/>
        <w:ind w:left="0" w:firstLine="0" w:firstLineChars="0"/>
        <w:jc w:val="both"/>
        <w:rPr>
          <w:rFonts w:hint="eastAsia" w:hAnsi="宋体" w:eastAsia="宋体" w:cs="宋体"/>
          <w:color w:val="C00000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进入标的详情后，点击【我要报名】按钮。</w:t>
      </w:r>
    </w:p>
    <w:p w14:paraId="17A96E11">
      <w:pPr>
        <w:pStyle w:val="13"/>
        <w:spacing w:line="360" w:lineRule="auto"/>
        <w:ind w:left="0" w:firstLine="0" w:firstLineChars="0"/>
        <w:jc w:val="both"/>
        <w:rPr>
          <w:rFonts w:hint="eastAsia" w:hAnsi="宋体" w:eastAsia="宋体" w:cs="宋体"/>
        </w:rPr>
      </w:pPr>
      <w:r>
        <w:rPr>
          <w:rFonts w:hint="eastAsia" w:hAnsi="宋体" w:eastAsia="宋体" w:cs="宋体"/>
        </w:rPr>
        <w:drawing>
          <wp:inline distT="0" distB="0" distL="114300" distR="114300">
            <wp:extent cx="5273675" cy="2526665"/>
            <wp:effectExtent l="0" t="0" r="14605" b="3175"/>
            <wp:docPr id="9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2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2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B14DE">
      <w:pPr>
        <w:pStyle w:val="13"/>
        <w:spacing w:line="360" w:lineRule="auto"/>
        <w:ind w:left="0" w:firstLine="0" w:firstLineChars="0"/>
        <w:jc w:val="both"/>
        <w:rPr>
          <w:rFonts w:hint="eastAsia" w:hAnsi="宋体" w:eastAsia="宋体" w:cs="宋体"/>
          <w:sz w:val="28"/>
          <w:szCs w:val="28"/>
        </w:rPr>
      </w:pPr>
    </w:p>
    <w:p w14:paraId="59F052F2">
      <w:pPr>
        <w:pStyle w:val="13"/>
        <w:spacing w:line="360" w:lineRule="auto"/>
        <w:ind w:left="0" w:firstLine="0" w:firstLineChars="0"/>
        <w:jc w:val="both"/>
        <w:rPr>
          <w:rFonts w:hint="eastAsia"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打开报名信息填写页面，在线【同意】【报名须知】，【竞价须知】后，按页面要求填写报名信息，点击下方的【提交】按钮即可。</w:t>
      </w:r>
    </w:p>
    <w:p w14:paraId="73AB06C5">
      <w:pPr>
        <w:pStyle w:val="13"/>
        <w:spacing w:line="360" w:lineRule="auto"/>
        <w:ind w:left="0" w:firstLine="0" w:firstLineChars="0"/>
        <w:jc w:val="both"/>
        <w:rPr>
          <w:rFonts w:hint="eastAsia" w:hAnsi="宋体" w:eastAsia="宋体" w:cs="宋体"/>
        </w:rPr>
      </w:pPr>
      <w:r>
        <w:drawing>
          <wp:inline distT="0" distB="0" distL="114300" distR="114300">
            <wp:extent cx="5266690" cy="2523490"/>
            <wp:effectExtent l="0" t="0" r="10160" b="10160"/>
            <wp:docPr id="4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3F85B">
      <w:pPr>
        <w:pStyle w:val="13"/>
        <w:spacing w:line="360" w:lineRule="auto"/>
        <w:ind w:left="0" w:firstLine="0" w:firstLineChars="0"/>
        <w:jc w:val="both"/>
        <w:rPr>
          <w:rFonts w:hint="eastAsia" w:hAnsi="宋体" w:eastAsia="宋体" w:cs="宋体"/>
        </w:rPr>
      </w:pPr>
    </w:p>
    <w:p w14:paraId="166352A9">
      <w:pPr>
        <w:pStyle w:val="13"/>
        <w:spacing w:line="360" w:lineRule="auto"/>
        <w:ind w:left="0" w:firstLine="0" w:firstLineChars="0"/>
        <w:jc w:val="both"/>
        <w:rPr>
          <w:rFonts w:hint="eastAsia" w:hAnsi="宋体" w:eastAsia="宋体" w:cs="宋体"/>
        </w:rPr>
      </w:pPr>
    </w:p>
    <w:p w14:paraId="2E12C001">
      <w:pPr>
        <w:pStyle w:val="13"/>
        <w:spacing w:line="360" w:lineRule="auto"/>
        <w:ind w:left="0" w:firstLine="0" w:firstLineChars="0"/>
        <w:jc w:val="both"/>
        <w:rPr>
          <w:rFonts w:hint="eastAsia" w:hAnsi="宋体" w:eastAsia="宋体" w:cs="宋体"/>
        </w:rPr>
      </w:pPr>
    </w:p>
    <w:p w14:paraId="3BB8647C">
      <w:pPr>
        <w:pStyle w:val="13"/>
        <w:spacing w:line="360" w:lineRule="auto"/>
        <w:ind w:left="0" w:firstLine="0" w:firstLineChars="0"/>
        <w:jc w:val="both"/>
        <w:rPr>
          <w:rFonts w:hint="eastAsia" w:hAnsi="宋体" w:eastAsia="宋体" w:cs="宋体"/>
        </w:rPr>
      </w:pPr>
    </w:p>
    <w:p w14:paraId="032FB340">
      <w:pPr>
        <w:pStyle w:val="2"/>
        <w:numPr>
          <w:ilvl w:val="0"/>
          <w:numId w:val="3"/>
        </w:numPr>
        <w:spacing w:line="360" w:lineRule="auto"/>
        <w:rPr>
          <w:rFonts w:cs="宋体"/>
          <w:sz w:val="30"/>
          <w:szCs w:val="30"/>
        </w:rPr>
      </w:pPr>
      <w:bookmarkStart w:id="9" w:name="_Toc20259"/>
      <w:r>
        <w:rPr>
          <w:rFonts w:cs="宋体"/>
          <w:sz w:val="30"/>
          <w:szCs w:val="30"/>
        </w:rPr>
        <w:t>保证金交纳</w:t>
      </w:r>
      <w:bookmarkEnd w:id="9"/>
    </w:p>
    <w:p w14:paraId="57FC3F24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【报名提交】后，可点击【前往交纳保证金】按钮前往交纳保证金</w:t>
      </w:r>
    </w:p>
    <w:p w14:paraId="030F3E52">
      <w:r>
        <w:drawing>
          <wp:inline distT="0" distB="0" distL="114300" distR="114300">
            <wp:extent cx="5266690" cy="2523490"/>
            <wp:effectExtent l="0" t="0" r="10160" b="10160"/>
            <wp:docPr id="4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199B7">
      <w:pPr>
        <w:pStyle w:val="13"/>
        <w:spacing w:line="360" w:lineRule="auto"/>
        <w:ind w:left="0" w:firstLine="0" w:firstLineChars="0"/>
        <w:rPr>
          <w:rFonts w:hint="eastAsia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AD68C07">
      <w:pPr>
        <w:pStyle w:val="13"/>
        <w:spacing w:line="360" w:lineRule="auto"/>
        <w:ind w:left="0" w:firstLine="0" w:firstLineChars="0"/>
        <w:rPr>
          <w:rFonts w:hint="eastAsia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如果报名后不急于交纳保证金，可点击返回工作台，在保证金交纳截止前，都可以在【工作台待办】跳转至交纳保证金页面</w:t>
      </w:r>
    </w:p>
    <w:p w14:paraId="13C6EA40">
      <w:pPr>
        <w:pStyle w:val="13"/>
        <w:spacing w:line="360" w:lineRule="auto"/>
        <w:ind w:left="0" w:firstLine="0" w:firstLineChars="0"/>
        <w:rPr>
          <w:rFonts w:hint="eastAsia" w:hAnsi="宋体" w:eastAsia="宋体" w:cs="宋体"/>
          <w:szCs w:val="24"/>
        </w:rPr>
      </w:pPr>
      <w:r>
        <w:rPr>
          <w:rFonts w:hint="eastAsia" w:hAnsi="宋体" w:eastAsia="宋体" w:cs="宋体"/>
        </w:rPr>
        <w:drawing>
          <wp:inline distT="0" distB="0" distL="114300" distR="114300">
            <wp:extent cx="5265420" cy="2573020"/>
            <wp:effectExtent l="0" t="0" r="7620" b="2540"/>
            <wp:docPr id="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37AD4">
      <w:pPr>
        <w:pStyle w:val="13"/>
        <w:spacing w:line="360" w:lineRule="auto"/>
        <w:ind w:left="0" w:firstLine="0" w:firstLineChars="0"/>
        <w:rPr>
          <w:rFonts w:hint="eastAsia" w:hAnsi="宋体" w:eastAsia="宋体" w:cs="宋体"/>
          <w:szCs w:val="24"/>
        </w:rPr>
      </w:pPr>
    </w:p>
    <w:p w14:paraId="11678A56">
      <w:pPr>
        <w:pStyle w:val="2"/>
        <w:spacing w:line="360" w:lineRule="auto"/>
        <w:rPr>
          <w:rFonts w:cs="宋体"/>
          <w:sz w:val="30"/>
          <w:szCs w:val="30"/>
          <w:lang w:bidi="ar"/>
        </w:rPr>
      </w:pPr>
      <w:bookmarkStart w:id="10" w:name="_Toc20935"/>
    </w:p>
    <w:p w14:paraId="51154D79">
      <w:pPr>
        <w:pStyle w:val="2"/>
        <w:spacing w:line="360" w:lineRule="auto"/>
        <w:rPr>
          <w:rFonts w:cs="宋体"/>
          <w:sz w:val="30"/>
          <w:szCs w:val="30"/>
        </w:rPr>
      </w:pPr>
      <w:r>
        <w:rPr>
          <w:rFonts w:cs="宋体"/>
          <w:sz w:val="30"/>
          <w:szCs w:val="30"/>
          <w:lang w:bidi="ar"/>
        </w:rPr>
        <w:t>第五章、</w:t>
      </w:r>
      <w:r>
        <w:rPr>
          <w:rFonts w:cs="宋体"/>
          <w:sz w:val="30"/>
          <w:szCs w:val="30"/>
        </w:rPr>
        <w:t>竞价</w:t>
      </w:r>
      <w:bookmarkEnd w:id="10"/>
    </w:p>
    <w:p w14:paraId="394A0BF3">
      <w:pPr>
        <w:spacing w:line="360" w:lineRule="auto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【报名】-【交纳保证金】-【获得资格】后，在竞价开始后，点击【出价】即可参与竞价。</w:t>
      </w:r>
    </w:p>
    <w:p w14:paraId="68B93FD1">
      <w:pPr>
        <w:spacing w:line="360" w:lineRule="auto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73040" cy="2540635"/>
            <wp:effectExtent l="0" t="0" r="0" b="4445"/>
            <wp:docPr id="9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2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4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16E79">
      <w:pPr>
        <w:pStyle w:val="13"/>
        <w:spacing w:line="360" w:lineRule="auto"/>
        <w:ind w:left="0" w:firstLine="0" w:firstLineChars="0"/>
        <w:rPr>
          <w:rFonts w:hint="eastAsia" w:hAnsi="宋体" w:eastAsia="宋体" w:cs="宋体"/>
          <w:sz w:val="28"/>
          <w:szCs w:val="28"/>
        </w:rPr>
      </w:pPr>
    </w:p>
    <w:p w14:paraId="25D22D43">
      <w:pPr>
        <w:pStyle w:val="13"/>
        <w:spacing w:line="360" w:lineRule="auto"/>
        <w:ind w:left="0" w:firstLine="0" w:firstLineChars="0"/>
        <w:rPr>
          <w:rFonts w:hint="eastAsia"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点击出价显示框右侧的“＋”按钮为递增，点击左侧的“-”按钮显示框为递减。</w:t>
      </w:r>
    </w:p>
    <w:p w14:paraId="0B1F323E">
      <w:pPr>
        <w:pStyle w:val="13"/>
        <w:spacing w:line="360" w:lineRule="auto"/>
        <w:ind w:left="0" w:firstLine="0" w:firstLineChars="0"/>
        <w:rPr>
          <w:rFonts w:hint="eastAsia" w:hAnsi="宋体" w:eastAsia="宋体" w:cs="宋体"/>
          <w:sz w:val="21"/>
          <w:szCs w:val="21"/>
        </w:rPr>
      </w:pPr>
      <w:r>
        <w:rPr>
          <w:rFonts w:hint="eastAsia" w:hAnsi="宋体" w:eastAsia="宋体" w:cs="宋体"/>
        </w:rPr>
        <w:drawing>
          <wp:inline distT="0" distB="0" distL="114300" distR="114300">
            <wp:extent cx="5272405" cy="2555875"/>
            <wp:effectExtent l="0" t="0" r="635" b="4445"/>
            <wp:docPr id="9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2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5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B80EF">
      <w:pPr>
        <w:pStyle w:val="13"/>
        <w:spacing w:line="360" w:lineRule="auto"/>
        <w:ind w:left="0" w:firstLine="0" w:firstLineChars="0"/>
        <w:rPr>
          <w:rFonts w:hint="eastAsia" w:hAnsi="宋体" w:eastAsia="宋体" w:cs="宋体"/>
          <w:sz w:val="28"/>
          <w:szCs w:val="28"/>
        </w:rPr>
      </w:pPr>
    </w:p>
    <w:p w14:paraId="2DFC3F9C">
      <w:pPr>
        <w:pStyle w:val="13"/>
        <w:spacing w:line="360" w:lineRule="auto"/>
        <w:ind w:left="0" w:firstLine="0" w:firstLineChars="0"/>
        <w:rPr>
          <w:rFonts w:hint="eastAsia" w:hAnsi="宋体" w:eastAsia="宋体" w:cs="宋体"/>
          <w:sz w:val="28"/>
          <w:szCs w:val="28"/>
        </w:rPr>
      </w:pPr>
    </w:p>
    <w:p w14:paraId="46D73244">
      <w:pPr>
        <w:pStyle w:val="13"/>
        <w:spacing w:line="360" w:lineRule="auto"/>
        <w:ind w:left="0" w:firstLine="0" w:firstLineChars="0"/>
        <w:rPr>
          <w:rFonts w:hint="eastAsia"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确认价格后点击【出价】按钮，出现“确认出价”提示框，点击【确认】。</w:t>
      </w:r>
    </w:p>
    <w:p w14:paraId="48B027F4">
      <w:pPr>
        <w:pStyle w:val="13"/>
        <w:spacing w:line="360" w:lineRule="auto"/>
        <w:ind w:left="0" w:firstLine="0" w:firstLineChars="0"/>
        <w:jc w:val="both"/>
        <w:rPr>
          <w:rFonts w:hint="eastAsia" w:hAnsi="宋体" w:eastAsia="宋体" w:cs="宋体"/>
        </w:rPr>
      </w:pPr>
      <w:bookmarkStart w:id="11" w:name="_Toc14653"/>
      <w:r>
        <w:rPr>
          <w:rFonts w:hint="eastAsia" w:hAnsi="宋体" w:eastAsia="宋体" w:cs="宋体"/>
        </w:rPr>
        <w:drawing>
          <wp:inline distT="0" distB="0" distL="114300" distR="114300">
            <wp:extent cx="5262880" cy="2548890"/>
            <wp:effectExtent l="0" t="0" r="10160" b="11430"/>
            <wp:docPr id="100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2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D5240">
      <w:pPr>
        <w:pStyle w:val="13"/>
        <w:spacing w:line="360" w:lineRule="auto"/>
        <w:ind w:left="0" w:firstLine="0" w:firstLineChars="0"/>
        <w:jc w:val="both"/>
        <w:rPr>
          <w:rFonts w:hint="eastAsia" w:hAnsi="宋体" w:eastAsia="宋体" w:cs="宋体"/>
          <w:sz w:val="28"/>
          <w:szCs w:val="28"/>
        </w:rPr>
      </w:pPr>
    </w:p>
    <w:p w14:paraId="28F99FE5">
      <w:pPr>
        <w:pStyle w:val="13"/>
        <w:spacing w:line="360" w:lineRule="auto"/>
        <w:ind w:left="0" w:firstLine="0" w:firstLineChars="0"/>
        <w:jc w:val="both"/>
        <w:rPr>
          <w:rFonts w:hint="eastAsia" w:hAnsi="宋体" w:eastAsia="宋体" w:cs="宋体"/>
          <w:szCs w:val="24"/>
        </w:rPr>
      </w:pPr>
      <w:r>
        <w:rPr>
          <w:rFonts w:hint="eastAsia" w:hAnsi="宋体" w:eastAsia="宋体" w:cs="宋体"/>
          <w:sz w:val="28"/>
          <w:szCs w:val="28"/>
        </w:rPr>
        <w:t>页面提示出价成功，即出价成功</w:t>
      </w:r>
      <w:r>
        <w:rPr>
          <w:rFonts w:hint="eastAsia" w:hAnsi="宋体" w:eastAsia="宋体" w:cs="宋体"/>
          <w:szCs w:val="24"/>
        </w:rPr>
        <w:t>。</w:t>
      </w:r>
      <w:bookmarkEnd w:id="11"/>
    </w:p>
    <w:p w14:paraId="0B77EF62">
      <w:pPr>
        <w:pStyle w:val="13"/>
        <w:spacing w:line="360" w:lineRule="auto"/>
        <w:ind w:left="0" w:firstLine="0" w:firstLineChars="0"/>
        <w:jc w:val="both"/>
        <w:rPr>
          <w:rFonts w:hint="eastAsia" w:hAnsi="宋体" w:eastAsia="宋体" w:cs="宋体"/>
        </w:rPr>
      </w:pPr>
      <w:r>
        <w:rPr>
          <w:rFonts w:hint="eastAsia" w:hAnsi="宋体" w:eastAsia="宋体" w:cs="宋体"/>
        </w:rPr>
        <w:drawing>
          <wp:inline distT="0" distB="0" distL="114300" distR="114300">
            <wp:extent cx="5269865" cy="2554605"/>
            <wp:effectExtent l="0" t="0" r="3175" b="5715"/>
            <wp:docPr id="101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3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CE4B0">
      <w:pPr>
        <w:pStyle w:val="13"/>
        <w:spacing w:line="360" w:lineRule="auto"/>
        <w:ind w:left="0" w:firstLine="0" w:firstLineChars="0"/>
        <w:jc w:val="both"/>
        <w:rPr>
          <w:rFonts w:hint="eastAsia" w:hAnsi="宋体" w:eastAsia="宋体" w:cs="宋体"/>
          <w:sz w:val="28"/>
          <w:szCs w:val="24"/>
        </w:rPr>
      </w:pPr>
    </w:p>
    <w:p w14:paraId="38D20D30">
      <w:pPr>
        <w:pStyle w:val="13"/>
        <w:spacing w:line="360" w:lineRule="auto"/>
        <w:ind w:left="0" w:firstLine="0" w:firstLineChars="0"/>
        <w:jc w:val="both"/>
        <w:rPr>
          <w:rFonts w:hint="eastAsia" w:hAnsi="宋体" w:eastAsia="宋体" w:cs="宋体"/>
          <w:sz w:val="28"/>
          <w:szCs w:val="24"/>
        </w:rPr>
      </w:pPr>
    </w:p>
    <w:p w14:paraId="4DDA3139">
      <w:pPr>
        <w:pStyle w:val="13"/>
        <w:spacing w:line="360" w:lineRule="auto"/>
        <w:ind w:left="0" w:firstLine="0" w:firstLineChars="0"/>
        <w:jc w:val="both"/>
        <w:rPr>
          <w:rFonts w:hint="eastAsia" w:hAnsi="宋体" w:eastAsia="宋体" w:cs="宋体"/>
          <w:sz w:val="28"/>
          <w:szCs w:val="24"/>
        </w:rPr>
      </w:pPr>
    </w:p>
    <w:p w14:paraId="66C07C8F">
      <w:pPr>
        <w:pStyle w:val="13"/>
        <w:spacing w:line="360" w:lineRule="auto"/>
        <w:ind w:left="0" w:firstLine="0" w:firstLineChars="0"/>
        <w:jc w:val="both"/>
        <w:rPr>
          <w:rFonts w:hint="eastAsia" w:hAnsi="宋体" w:eastAsia="宋体" w:cs="宋体"/>
          <w:sz w:val="28"/>
          <w:szCs w:val="24"/>
        </w:rPr>
      </w:pPr>
    </w:p>
    <w:p w14:paraId="13273841">
      <w:pPr>
        <w:pStyle w:val="13"/>
        <w:spacing w:line="360" w:lineRule="auto"/>
        <w:ind w:left="0" w:firstLine="0" w:firstLineChars="0"/>
        <w:jc w:val="both"/>
        <w:rPr>
          <w:rFonts w:hint="eastAsia" w:hAnsi="宋体" w:eastAsia="宋体" w:cs="宋体"/>
          <w:sz w:val="28"/>
          <w:szCs w:val="24"/>
        </w:rPr>
      </w:pPr>
      <w:r>
        <w:rPr>
          <w:rFonts w:hint="eastAsia" w:hAnsi="宋体" w:eastAsia="宋体" w:cs="宋体"/>
          <w:sz w:val="28"/>
          <w:szCs w:val="24"/>
        </w:rPr>
        <w:t>需要在竞价大厅专业竞价页面参与竞价的，也可进入【个人中心】</w:t>
      </w:r>
    </w:p>
    <w:p w14:paraId="62A5CB2F">
      <w:pPr>
        <w:pStyle w:val="13"/>
        <w:spacing w:line="360" w:lineRule="auto"/>
        <w:ind w:left="0" w:firstLine="0" w:firstLineChars="0"/>
        <w:jc w:val="both"/>
      </w:pPr>
      <w:r>
        <w:drawing>
          <wp:inline distT="0" distB="0" distL="114300" distR="114300">
            <wp:extent cx="4904740" cy="2349500"/>
            <wp:effectExtent l="0" t="0" r="0" b="0"/>
            <wp:docPr id="4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13646" cy="2354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0C569">
      <w:pPr>
        <w:pStyle w:val="13"/>
        <w:spacing w:line="400" w:lineRule="exact"/>
        <w:ind w:left="0" w:firstLine="0" w:firstLineChars="0"/>
        <w:jc w:val="both"/>
        <w:rPr>
          <w:sz w:val="28"/>
          <w:szCs w:val="24"/>
        </w:rPr>
      </w:pPr>
      <w:r>
        <w:rPr>
          <w:rFonts w:hint="eastAsia"/>
          <w:sz w:val="28"/>
          <w:szCs w:val="24"/>
        </w:rPr>
        <w:t>选择【竞价大厅】，点击对应标的的【进入竞价会】使用专业竞价页面进行竞价</w:t>
      </w:r>
    </w:p>
    <w:p w14:paraId="3A51FFDF">
      <w:pPr>
        <w:pStyle w:val="13"/>
        <w:spacing w:line="360" w:lineRule="auto"/>
        <w:ind w:left="0" w:firstLine="0" w:firstLineChars="0"/>
        <w:jc w:val="both"/>
        <w:rPr>
          <w:color w:val="FF0000"/>
          <w:sz w:val="28"/>
          <w:szCs w:val="24"/>
        </w:rPr>
      </w:pPr>
      <w:r>
        <w:rPr>
          <w:rFonts w:hint="eastAsia"/>
          <w:color w:val="FF0000"/>
          <w:sz w:val="28"/>
          <w:szCs w:val="24"/>
        </w:rPr>
        <w:t>注意：网页竞价与专业竞价页面竞价数据完全互通，选一个使用即可</w:t>
      </w:r>
    </w:p>
    <w:p w14:paraId="76D1E6B9">
      <w:pPr>
        <w:pStyle w:val="13"/>
        <w:spacing w:line="360" w:lineRule="auto"/>
        <w:ind w:left="0" w:firstLine="0" w:firstLineChars="0"/>
        <w:jc w:val="both"/>
      </w:pPr>
      <w:r>
        <w:drawing>
          <wp:inline distT="0" distB="0" distL="114300" distR="114300">
            <wp:extent cx="4942840" cy="2367915"/>
            <wp:effectExtent l="0" t="0" r="0" b="0"/>
            <wp:docPr id="4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49413" cy="23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D49CE">
      <w:pPr>
        <w:pStyle w:val="13"/>
        <w:spacing w:line="360" w:lineRule="auto"/>
        <w:ind w:left="0" w:firstLine="240"/>
        <w:jc w:val="both"/>
      </w:pPr>
      <w:r>
        <w:drawing>
          <wp:inline distT="0" distB="0" distL="114300" distR="114300">
            <wp:extent cx="4809490" cy="2304415"/>
            <wp:effectExtent l="0" t="0" r="0" b="635"/>
            <wp:docPr id="4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16482" cy="2307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554C0">
      <w:pPr>
        <w:pStyle w:val="2"/>
        <w:tabs>
          <w:tab w:val="left" w:pos="425"/>
        </w:tabs>
        <w:spacing w:line="360" w:lineRule="auto"/>
        <w:rPr>
          <w:rFonts w:cs="宋体"/>
          <w:sz w:val="30"/>
          <w:szCs w:val="30"/>
        </w:rPr>
      </w:pPr>
      <w:bookmarkStart w:id="12" w:name="_Toc7187"/>
      <w:r>
        <w:rPr>
          <w:rFonts w:cs="宋体"/>
          <w:sz w:val="30"/>
          <w:szCs w:val="30"/>
          <w:lang w:bidi="ar"/>
        </w:rPr>
        <w:t>第六章、</w:t>
      </w:r>
      <w:r>
        <w:rPr>
          <w:rFonts w:cs="宋体"/>
          <w:sz w:val="30"/>
          <w:szCs w:val="30"/>
        </w:rPr>
        <w:t>成交</w:t>
      </w:r>
      <w:bookmarkEnd w:id="12"/>
    </w:p>
    <w:p w14:paraId="44A13FC3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成功竞得标的的竞买人，点击【进入项目】</w:t>
      </w:r>
    </w:p>
    <w:p w14:paraId="7917F8E6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69230" cy="2541905"/>
            <wp:effectExtent l="0" t="0" r="3810" b="3175"/>
            <wp:docPr id="10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3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4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48053">
      <w:pPr>
        <w:pStyle w:val="13"/>
        <w:spacing w:line="360" w:lineRule="auto"/>
        <w:ind w:left="0" w:firstLine="0" w:firstLineChars="0"/>
        <w:jc w:val="both"/>
        <w:rPr>
          <w:rFonts w:hint="eastAsia"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进入工作台，【查看待办】，完成成交款，佣金，平台服务费的交纳，</w:t>
      </w:r>
    </w:p>
    <w:p w14:paraId="52ABB1DD">
      <w:pPr>
        <w:pStyle w:val="13"/>
        <w:spacing w:line="360" w:lineRule="auto"/>
        <w:ind w:left="0" w:firstLine="0" w:firstLineChars="0"/>
        <w:jc w:val="both"/>
        <w:rPr>
          <w:rFonts w:hint="eastAsia" w:hAnsi="宋体" w:eastAsia="宋体" w:cs="宋体"/>
          <w:sz w:val="28"/>
          <w:szCs w:val="28"/>
        </w:rPr>
      </w:pPr>
      <w:r>
        <w:rPr>
          <w:rFonts w:hint="eastAsia" w:hAnsi="宋体" w:eastAsia="宋体" w:cs="宋体"/>
          <w:color w:val="FF0000"/>
          <w:sz w:val="28"/>
          <w:szCs w:val="28"/>
        </w:rPr>
        <w:t>（注意：请【根据公告要求】，如果成交款是线上结算的，请和佣金，平台服务费合并结算，如果成交款是线下结算的，只需在完成佣金和平台服务费的在线交纳，成交款根据公告要求另外进行线下交纳。）</w:t>
      </w:r>
    </w:p>
    <w:p w14:paraId="1FD35097">
      <w:pPr>
        <w:pStyle w:val="13"/>
        <w:spacing w:line="360" w:lineRule="auto"/>
        <w:ind w:left="0" w:firstLine="0" w:firstLineChars="0"/>
        <w:jc w:val="both"/>
        <w:rPr>
          <w:rFonts w:hint="eastAsia" w:hAnsi="宋体" w:eastAsia="宋体" w:cs="宋体"/>
          <w:szCs w:val="24"/>
        </w:rPr>
      </w:pPr>
      <w:r>
        <w:rPr>
          <w:rFonts w:hint="eastAsia" w:hAnsi="宋体" w:eastAsia="宋体" w:cs="宋体"/>
        </w:rPr>
        <w:drawing>
          <wp:inline distT="0" distB="0" distL="0" distR="0">
            <wp:extent cx="5274310" cy="2586355"/>
            <wp:effectExtent l="0" t="0" r="2540" b="444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4005F">
      <w:pPr>
        <w:pStyle w:val="13"/>
        <w:spacing w:line="360" w:lineRule="auto"/>
        <w:ind w:left="0" w:firstLine="0" w:firstLineChars="0"/>
        <w:jc w:val="both"/>
        <w:rPr>
          <w:rFonts w:hint="eastAsia" w:hAnsi="宋体" w:eastAsia="宋体" w:cs="宋体"/>
          <w:szCs w:val="24"/>
        </w:rPr>
      </w:pPr>
    </w:p>
    <w:p w14:paraId="08C77A84">
      <w:pPr>
        <w:pStyle w:val="2"/>
        <w:tabs>
          <w:tab w:val="left" w:pos="425"/>
        </w:tabs>
        <w:spacing w:line="360" w:lineRule="auto"/>
        <w:rPr>
          <w:rFonts w:cs="宋体"/>
          <w:sz w:val="30"/>
          <w:szCs w:val="30"/>
        </w:rPr>
      </w:pPr>
      <w:bookmarkStart w:id="13" w:name="_Toc16119"/>
      <w:bookmarkStart w:id="14" w:name="_Toc12536"/>
      <w:bookmarkStart w:id="15" w:name="_Toc24231"/>
      <w:r>
        <w:rPr>
          <w:rFonts w:cs="宋体"/>
          <w:sz w:val="30"/>
          <w:szCs w:val="30"/>
        </w:rPr>
        <w:t>第七章、提货信息确认</w:t>
      </w:r>
      <w:bookmarkEnd w:id="13"/>
      <w:bookmarkEnd w:id="14"/>
    </w:p>
    <w:p w14:paraId="67B3BC45">
      <w:pPr>
        <w:spacing w:line="520" w:lineRule="exac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功能介绍：</w:t>
      </w:r>
      <w:r>
        <w:rPr>
          <w:rFonts w:hint="eastAsia" w:ascii="宋体" w:hAnsi="宋体" w:eastAsia="宋体" w:cs="宋体"/>
          <w:sz w:val="28"/>
          <w:szCs w:val="28"/>
        </w:rPr>
        <w:t>意向方可以在“提货信息确认”中对竞得得标的进行提货确认</w:t>
      </w:r>
    </w:p>
    <w:p w14:paraId="754A843F">
      <w:pPr>
        <w:pStyle w:val="21"/>
        <w:spacing w:line="300" w:lineRule="exact"/>
        <w:ind w:firstLine="0" w:firstLine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打开【个人工作台】，【查看待办】，完成提货确认待办即可</w:t>
      </w:r>
    </w:p>
    <w:p w14:paraId="46C05547">
      <w:pPr>
        <w:pStyle w:val="21"/>
        <w:spacing w:line="360" w:lineRule="auto"/>
        <w:ind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62245" cy="2583815"/>
            <wp:effectExtent l="0" t="0" r="14605" b="6985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5"/>
    <w:p w14:paraId="5B947050">
      <w:pPr>
        <w:pStyle w:val="2"/>
        <w:tabs>
          <w:tab w:val="left" w:pos="425"/>
        </w:tabs>
        <w:spacing w:line="360" w:lineRule="auto"/>
        <w:rPr>
          <w:rFonts w:cs="宋体"/>
          <w:sz w:val="30"/>
          <w:szCs w:val="30"/>
        </w:rPr>
      </w:pPr>
      <w:bookmarkStart w:id="16" w:name="_Toc6046"/>
      <w:bookmarkStart w:id="17" w:name="_Toc1416326775"/>
      <w:r>
        <w:rPr>
          <w:rFonts w:cs="宋体"/>
          <w:sz w:val="30"/>
          <w:szCs w:val="30"/>
        </w:rPr>
        <w:t>第八章、会员钱包管理</w:t>
      </w:r>
      <w:bookmarkEnd w:id="16"/>
      <w:bookmarkEnd w:id="17"/>
    </w:p>
    <w:p w14:paraId="68A5A000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进入【个人中心】-【资金结算管理】-【会员钱包中心】，钱包可操作【充值】【提现】查看交易流水等功能</w:t>
      </w:r>
    </w:p>
    <w:p w14:paraId="34F81244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6690" cy="3028950"/>
            <wp:effectExtent l="0" t="0" r="6350" b="3810"/>
            <wp:docPr id="5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1949E">
      <w:pPr>
        <w:pStyle w:val="2"/>
        <w:tabs>
          <w:tab w:val="left" w:pos="425"/>
        </w:tabs>
        <w:spacing w:line="360" w:lineRule="auto"/>
        <w:rPr>
          <w:rFonts w:cs="宋体"/>
          <w:sz w:val="28"/>
          <w:szCs w:val="28"/>
        </w:rPr>
      </w:pPr>
      <w:bookmarkStart w:id="18" w:name="_Toc1211558397"/>
      <w:bookmarkStart w:id="19" w:name="_Toc12696"/>
      <w:r>
        <w:rPr>
          <w:rFonts w:cs="宋体"/>
          <w:sz w:val="28"/>
          <w:szCs w:val="28"/>
        </w:rPr>
        <w:t>第九章、发票管理</w:t>
      </w:r>
      <w:bookmarkEnd w:id="18"/>
      <w:bookmarkEnd w:id="19"/>
    </w:p>
    <w:p w14:paraId="080F4A0B">
      <w:pPr>
        <w:numPr>
          <w:ilvl w:val="0"/>
          <w:numId w:val="4"/>
        </w:numPr>
        <w:spacing w:line="360" w:lineRule="auto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路径为：【个人中心】&gt;【资金结算管理】&gt;【会员钱包中心】&gt;钱包信息；选择需要开票的流水，点击申请开票按钮</w:t>
      </w:r>
    </w:p>
    <w:p w14:paraId="4D9836E7">
      <w:pPr>
        <w:spacing w:line="360" w:lineRule="auto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7325" cy="2934335"/>
            <wp:effectExtent l="0" t="0" r="5715" b="6985"/>
            <wp:docPr id="8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2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F0A84">
      <w:pPr>
        <w:pStyle w:val="21"/>
        <w:spacing w:line="360" w:lineRule="auto"/>
        <w:ind w:firstLine="0" w:firstLineChars="0"/>
        <w:rPr>
          <w:rFonts w:hint="eastAsia" w:ascii="宋体" w:hAnsi="宋体" w:eastAsia="宋体" w:cs="宋体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635A7F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E4AB93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rd1wwq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gGSaKZQ8cv3b5cf&#10;vy4/vxKcQaDG+jnidhaRoX1rWgQP5x6HkXdbOhW/YETgB9b5Kq9oA+Hx0mw6m43h4vANG+Bnj9et&#10;8+GdMIpEI6cO9UuystPWhy50CInZtNnUUqYaSk2anN68fjNOF64egEuNHJFE99hohXbf9sz2pjiD&#10;mDNdb3jLNzWSb5kPD8yhGfBgjEu4x1JKgySmtyipjPvyr/MYjxrBS0mD5sqpxixRIt9r1A6AYTDc&#10;YOwHQx/VnUG3TjCGlicTF1yQg1k6oz5jhlYxB1xMc2TKaRjMu9A1OGaQi9UqBaHbLAtbvbM8Qkfx&#10;vF0dAwRMukZROiV6rdBvqTL9bMSG/nOfoh7/B8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Mrd1wwqAgAAVw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E4AB93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739CA1"/>
    <w:multiLevelType w:val="singleLevel"/>
    <w:tmpl w:val="80739CA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DFED009"/>
    <w:multiLevelType w:val="multilevel"/>
    <w:tmpl w:val="DDFED009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rFonts w:hint="default" w:ascii="宋体" w:hAnsi="宋体" w:eastAsia="宋体" w:cs="宋体"/>
      </w:rPr>
    </w:lvl>
    <w:lvl w:ilvl="1" w:tentative="0">
      <w:start w:val="1"/>
      <w:numFmt w:val="decimal"/>
      <w:lvlText w:val="%1.%2."/>
      <w:lvlJc w:val="left"/>
      <w:pPr>
        <w:tabs>
          <w:tab w:val="left" w:pos="0"/>
        </w:tabs>
        <w:ind w:left="0" w:firstLine="0"/>
      </w:pPr>
      <w:rPr>
        <w:rFonts w:hint="default" w:ascii="宋体" w:hAnsi="宋体" w:eastAsia="宋体" w:cs="宋体"/>
      </w:rPr>
    </w:lvl>
    <w:lvl w:ilvl="2" w:tentative="0">
      <w:start w:val="1"/>
      <w:numFmt w:val="decimal"/>
      <w:pStyle w:val="4"/>
      <w:lvlText w:val="%1.%2.%3."/>
      <w:lvlJc w:val="left"/>
      <w:pPr>
        <w:tabs>
          <w:tab w:val="left" w:pos="0"/>
        </w:tabs>
        <w:ind w:left="0" w:firstLine="0"/>
      </w:pPr>
      <w:rPr>
        <w:rFonts w:hint="default" w:ascii="宋体" w:hAnsi="宋体" w:eastAsia="宋体" w:cs="宋体"/>
      </w:rPr>
    </w:lvl>
    <w:lvl w:ilvl="3" w:tentative="0">
      <w:start w:val="1"/>
      <w:numFmt w:val="decimal"/>
      <w:lvlText w:val="%1.%2.%3.%4."/>
      <w:lvlJc w:val="left"/>
      <w:pPr>
        <w:tabs>
          <w:tab w:val="left" w:pos="0"/>
        </w:tabs>
        <w:ind w:left="0" w:firstLine="0"/>
      </w:pPr>
      <w:rPr>
        <w:rFonts w:hint="default" w:ascii="宋体" w:hAnsi="宋体" w:eastAsia="宋体" w:cs="宋体"/>
      </w:rPr>
    </w:lvl>
    <w:lvl w:ilvl="4" w:tentative="0">
      <w:start w:val="1"/>
      <w:numFmt w:val="decimal"/>
      <w:lvlText w:val="%1.%2.%3.%4.%5."/>
      <w:lvlJc w:val="left"/>
      <w:pPr>
        <w:tabs>
          <w:tab w:val="left" w:pos="0"/>
        </w:tabs>
        <w:ind w:left="0" w:firstLine="0"/>
      </w:pPr>
      <w:rPr>
        <w:rFonts w:hint="default" w:ascii="宋体" w:hAnsi="宋体" w:eastAsia="宋体" w:cs="宋体"/>
      </w:rPr>
    </w:lvl>
    <w:lvl w:ilvl="5" w:tentative="0">
      <w:start w:val="1"/>
      <w:numFmt w:val="decimal"/>
      <w:lvlText w:val="%1.%2.%3.%4.%5.%6."/>
      <w:lvlJc w:val="left"/>
      <w:pPr>
        <w:tabs>
          <w:tab w:val="left" w:pos="0"/>
        </w:tabs>
        <w:ind w:left="0" w:firstLine="0"/>
      </w:pPr>
      <w:rPr>
        <w:rFonts w:hint="default" w:ascii="宋体" w:hAnsi="宋体" w:eastAsia="宋体" w:cs="宋体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2">
    <w:nsid w:val="4BE11CFE"/>
    <w:multiLevelType w:val="singleLevel"/>
    <w:tmpl w:val="4BE11CFE"/>
    <w:lvl w:ilvl="0" w:tentative="0">
      <w:start w:val="4"/>
      <w:numFmt w:val="chineseCounting"/>
      <w:suff w:val="nothing"/>
      <w:lvlText w:val="第%1章、"/>
      <w:lvlJc w:val="left"/>
      <w:rPr>
        <w:rFonts w:hint="eastAsia"/>
      </w:rPr>
    </w:lvl>
  </w:abstractNum>
  <w:abstractNum w:abstractNumId="3">
    <w:nsid w:val="653F7F49"/>
    <w:multiLevelType w:val="singleLevel"/>
    <w:tmpl w:val="653F7F49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kxYjRjZGFmZDJkOGNiYTBhZGZiZTI4OGU5ZDEzYmMifQ=="/>
  </w:docVars>
  <w:rsids>
    <w:rsidRoot w:val="00C33A23"/>
    <w:rsid w:val="000D4C68"/>
    <w:rsid w:val="00132AF9"/>
    <w:rsid w:val="00480F60"/>
    <w:rsid w:val="004A4A50"/>
    <w:rsid w:val="004D330D"/>
    <w:rsid w:val="00532124"/>
    <w:rsid w:val="00541946"/>
    <w:rsid w:val="00587388"/>
    <w:rsid w:val="006266E5"/>
    <w:rsid w:val="00631352"/>
    <w:rsid w:val="007200AE"/>
    <w:rsid w:val="0080204D"/>
    <w:rsid w:val="008403E0"/>
    <w:rsid w:val="008D4A76"/>
    <w:rsid w:val="008F3D4D"/>
    <w:rsid w:val="0092450B"/>
    <w:rsid w:val="00930485"/>
    <w:rsid w:val="00951FEE"/>
    <w:rsid w:val="009A0FE4"/>
    <w:rsid w:val="009C288B"/>
    <w:rsid w:val="00A12FFA"/>
    <w:rsid w:val="00A649C4"/>
    <w:rsid w:val="00C33A23"/>
    <w:rsid w:val="00CC3BD9"/>
    <w:rsid w:val="00CD3536"/>
    <w:rsid w:val="00E50DB5"/>
    <w:rsid w:val="00E84B26"/>
    <w:rsid w:val="00EE2681"/>
    <w:rsid w:val="00F300D2"/>
    <w:rsid w:val="017D335E"/>
    <w:rsid w:val="019D55FE"/>
    <w:rsid w:val="026E2454"/>
    <w:rsid w:val="0284231A"/>
    <w:rsid w:val="02BF77F6"/>
    <w:rsid w:val="02CF4B6A"/>
    <w:rsid w:val="030B6598"/>
    <w:rsid w:val="030E4F89"/>
    <w:rsid w:val="036B7036"/>
    <w:rsid w:val="03746585"/>
    <w:rsid w:val="03823F67"/>
    <w:rsid w:val="0397607D"/>
    <w:rsid w:val="039E635A"/>
    <w:rsid w:val="042518DB"/>
    <w:rsid w:val="04497378"/>
    <w:rsid w:val="046C3066"/>
    <w:rsid w:val="04781A0B"/>
    <w:rsid w:val="047E0697"/>
    <w:rsid w:val="050B6F7D"/>
    <w:rsid w:val="0552404D"/>
    <w:rsid w:val="05706B86"/>
    <w:rsid w:val="063876A4"/>
    <w:rsid w:val="063B53E6"/>
    <w:rsid w:val="0696473A"/>
    <w:rsid w:val="07622F62"/>
    <w:rsid w:val="07851DDA"/>
    <w:rsid w:val="078D1C71"/>
    <w:rsid w:val="079052BE"/>
    <w:rsid w:val="079137CB"/>
    <w:rsid w:val="07C4299A"/>
    <w:rsid w:val="08236132"/>
    <w:rsid w:val="0871551B"/>
    <w:rsid w:val="08730FDE"/>
    <w:rsid w:val="08B84496"/>
    <w:rsid w:val="08FF6B9F"/>
    <w:rsid w:val="09AD03A9"/>
    <w:rsid w:val="0A9A6B7F"/>
    <w:rsid w:val="0AE95411"/>
    <w:rsid w:val="0B640F3B"/>
    <w:rsid w:val="0B957346"/>
    <w:rsid w:val="0C48085D"/>
    <w:rsid w:val="0CB101B0"/>
    <w:rsid w:val="0CBB4B8B"/>
    <w:rsid w:val="0D8F78D0"/>
    <w:rsid w:val="0DA10224"/>
    <w:rsid w:val="0ED40186"/>
    <w:rsid w:val="0EF00B8E"/>
    <w:rsid w:val="0EF34AB0"/>
    <w:rsid w:val="0F1F58A5"/>
    <w:rsid w:val="0F2646A0"/>
    <w:rsid w:val="0F440419"/>
    <w:rsid w:val="0FD2343A"/>
    <w:rsid w:val="0FD46404"/>
    <w:rsid w:val="0FE663C2"/>
    <w:rsid w:val="10705587"/>
    <w:rsid w:val="1086173B"/>
    <w:rsid w:val="10D43DF6"/>
    <w:rsid w:val="111B11A3"/>
    <w:rsid w:val="1179362D"/>
    <w:rsid w:val="12993BC0"/>
    <w:rsid w:val="12A83E03"/>
    <w:rsid w:val="12B5207C"/>
    <w:rsid w:val="12CF4394"/>
    <w:rsid w:val="12D15108"/>
    <w:rsid w:val="12F157AA"/>
    <w:rsid w:val="1309679C"/>
    <w:rsid w:val="139D3C46"/>
    <w:rsid w:val="144D65A6"/>
    <w:rsid w:val="14815A1E"/>
    <w:rsid w:val="148443FC"/>
    <w:rsid w:val="14A0576E"/>
    <w:rsid w:val="15833E57"/>
    <w:rsid w:val="15851F8D"/>
    <w:rsid w:val="15883A78"/>
    <w:rsid w:val="161C0D90"/>
    <w:rsid w:val="16844C58"/>
    <w:rsid w:val="17101F77"/>
    <w:rsid w:val="177A2773"/>
    <w:rsid w:val="181E2472"/>
    <w:rsid w:val="1822533D"/>
    <w:rsid w:val="186461EE"/>
    <w:rsid w:val="196D545F"/>
    <w:rsid w:val="1A1678A4"/>
    <w:rsid w:val="1A8213DE"/>
    <w:rsid w:val="1A937147"/>
    <w:rsid w:val="1B0B3181"/>
    <w:rsid w:val="1B746F78"/>
    <w:rsid w:val="1B767316"/>
    <w:rsid w:val="1B852F33"/>
    <w:rsid w:val="1B860A5A"/>
    <w:rsid w:val="1BDA542C"/>
    <w:rsid w:val="1BDB37F6"/>
    <w:rsid w:val="1C2A6A69"/>
    <w:rsid w:val="1D1E3640"/>
    <w:rsid w:val="1D324128"/>
    <w:rsid w:val="1DF470C0"/>
    <w:rsid w:val="1EE46B96"/>
    <w:rsid w:val="1F2C3C4B"/>
    <w:rsid w:val="1F315949"/>
    <w:rsid w:val="1F43738D"/>
    <w:rsid w:val="1FA140B4"/>
    <w:rsid w:val="1FAA63F5"/>
    <w:rsid w:val="1FFE5062"/>
    <w:rsid w:val="20EE3329"/>
    <w:rsid w:val="223B259E"/>
    <w:rsid w:val="22660B71"/>
    <w:rsid w:val="231E77CA"/>
    <w:rsid w:val="23490CE5"/>
    <w:rsid w:val="23753CF1"/>
    <w:rsid w:val="240D7F6A"/>
    <w:rsid w:val="24967F5F"/>
    <w:rsid w:val="24B77ED6"/>
    <w:rsid w:val="250E1498"/>
    <w:rsid w:val="252217F3"/>
    <w:rsid w:val="267918E7"/>
    <w:rsid w:val="267E6EFD"/>
    <w:rsid w:val="26FB67A0"/>
    <w:rsid w:val="270A69E3"/>
    <w:rsid w:val="27C052F3"/>
    <w:rsid w:val="282F6F65"/>
    <w:rsid w:val="28C70923"/>
    <w:rsid w:val="28CB1816"/>
    <w:rsid w:val="291813BB"/>
    <w:rsid w:val="297445E7"/>
    <w:rsid w:val="297E010B"/>
    <w:rsid w:val="29B32D2D"/>
    <w:rsid w:val="2AB56948"/>
    <w:rsid w:val="2AC709AA"/>
    <w:rsid w:val="2B0674C1"/>
    <w:rsid w:val="2B2F6A18"/>
    <w:rsid w:val="2B6F1B3E"/>
    <w:rsid w:val="2BBF7033"/>
    <w:rsid w:val="2C7E2FB0"/>
    <w:rsid w:val="2D0A67E5"/>
    <w:rsid w:val="2D453380"/>
    <w:rsid w:val="2D564730"/>
    <w:rsid w:val="2DCB3D4A"/>
    <w:rsid w:val="2E7A6F77"/>
    <w:rsid w:val="2E8452CD"/>
    <w:rsid w:val="2E8E1CA7"/>
    <w:rsid w:val="2EAE19E9"/>
    <w:rsid w:val="2ECD473B"/>
    <w:rsid w:val="2EFF2BA5"/>
    <w:rsid w:val="2F7D616C"/>
    <w:rsid w:val="2FAF0127"/>
    <w:rsid w:val="2FEA115F"/>
    <w:rsid w:val="304143BF"/>
    <w:rsid w:val="305F3535"/>
    <w:rsid w:val="30C96FC7"/>
    <w:rsid w:val="30EB3B3D"/>
    <w:rsid w:val="3106021B"/>
    <w:rsid w:val="310F0CD5"/>
    <w:rsid w:val="314B453E"/>
    <w:rsid w:val="31EF5153"/>
    <w:rsid w:val="329D695D"/>
    <w:rsid w:val="32F347CF"/>
    <w:rsid w:val="333D2057"/>
    <w:rsid w:val="33531CE2"/>
    <w:rsid w:val="350C6D62"/>
    <w:rsid w:val="35CE6E2D"/>
    <w:rsid w:val="35D1733D"/>
    <w:rsid w:val="35F2784B"/>
    <w:rsid w:val="36121410"/>
    <w:rsid w:val="36B35051"/>
    <w:rsid w:val="36BC355C"/>
    <w:rsid w:val="371B136A"/>
    <w:rsid w:val="37421881"/>
    <w:rsid w:val="37A01319"/>
    <w:rsid w:val="37CC4847"/>
    <w:rsid w:val="37F79CFE"/>
    <w:rsid w:val="37FE7E9E"/>
    <w:rsid w:val="3885236D"/>
    <w:rsid w:val="388C7258"/>
    <w:rsid w:val="399E2974"/>
    <w:rsid w:val="3A512225"/>
    <w:rsid w:val="3ACD5731"/>
    <w:rsid w:val="3AE40900"/>
    <w:rsid w:val="3BD4CDB5"/>
    <w:rsid w:val="3C524632"/>
    <w:rsid w:val="3C624897"/>
    <w:rsid w:val="3C6D73A0"/>
    <w:rsid w:val="3C8539D6"/>
    <w:rsid w:val="3CCA05BD"/>
    <w:rsid w:val="3CED228F"/>
    <w:rsid w:val="3DCDC70D"/>
    <w:rsid w:val="3DDB3221"/>
    <w:rsid w:val="3E6675C1"/>
    <w:rsid w:val="3ED41958"/>
    <w:rsid w:val="3F051B12"/>
    <w:rsid w:val="3F450160"/>
    <w:rsid w:val="3F4C5993"/>
    <w:rsid w:val="3F7D9609"/>
    <w:rsid w:val="3FC366C7"/>
    <w:rsid w:val="403A1C8F"/>
    <w:rsid w:val="4048006E"/>
    <w:rsid w:val="4057639D"/>
    <w:rsid w:val="40B84370"/>
    <w:rsid w:val="40D460E1"/>
    <w:rsid w:val="41206329"/>
    <w:rsid w:val="42002A64"/>
    <w:rsid w:val="42521512"/>
    <w:rsid w:val="42887885"/>
    <w:rsid w:val="42B555FD"/>
    <w:rsid w:val="434D1CD9"/>
    <w:rsid w:val="43BE6733"/>
    <w:rsid w:val="43E229D8"/>
    <w:rsid w:val="443F5452"/>
    <w:rsid w:val="444924A1"/>
    <w:rsid w:val="44586D9A"/>
    <w:rsid w:val="44B72A72"/>
    <w:rsid w:val="45526081"/>
    <w:rsid w:val="457B2BF7"/>
    <w:rsid w:val="45AD4CB1"/>
    <w:rsid w:val="45E00BE3"/>
    <w:rsid w:val="45F257AD"/>
    <w:rsid w:val="46096996"/>
    <w:rsid w:val="46801A6E"/>
    <w:rsid w:val="46810644"/>
    <w:rsid w:val="47024B89"/>
    <w:rsid w:val="471E57F1"/>
    <w:rsid w:val="47264D6A"/>
    <w:rsid w:val="47684C8C"/>
    <w:rsid w:val="47BE06A4"/>
    <w:rsid w:val="48DD531E"/>
    <w:rsid w:val="49C22E10"/>
    <w:rsid w:val="4A301A0D"/>
    <w:rsid w:val="4A3239D7"/>
    <w:rsid w:val="4A346794"/>
    <w:rsid w:val="4A7874FA"/>
    <w:rsid w:val="4AC76815"/>
    <w:rsid w:val="4AF15640"/>
    <w:rsid w:val="4B106704"/>
    <w:rsid w:val="4B7B1CE9"/>
    <w:rsid w:val="4BDF4AC0"/>
    <w:rsid w:val="4C986E92"/>
    <w:rsid w:val="4DAE15C6"/>
    <w:rsid w:val="4DB72B71"/>
    <w:rsid w:val="4DC332C4"/>
    <w:rsid w:val="4ECB02AA"/>
    <w:rsid w:val="4F3854C4"/>
    <w:rsid w:val="4F75BCD9"/>
    <w:rsid w:val="4FCF63B6"/>
    <w:rsid w:val="500D0826"/>
    <w:rsid w:val="50114D55"/>
    <w:rsid w:val="50600DC3"/>
    <w:rsid w:val="51051E45"/>
    <w:rsid w:val="510F4A72"/>
    <w:rsid w:val="514A5AAA"/>
    <w:rsid w:val="51FD48CA"/>
    <w:rsid w:val="527E5A0B"/>
    <w:rsid w:val="52E361B6"/>
    <w:rsid w:val="5326238A"/>
    <w:rsid w:val="53C7F0C8"/>
    <w:rsid w:val="53D578AD"/>
    <w:rsid w:val="53DB5744"/>
    <w:rsid w:val="54170B26"/>
    <w:rsid w:val="54561630"/>
    <w:rsid w:val="54684BC5"/>
    <w:rsid w:val="546B69AE"/>
    <w:rsid w:val="54BC17B0"/>
    <w:rsid w:val="54CD4A28"/>
    <w:rsid w:val="54E03DF2"/>
    <w:rsid w:val="551F66C5"/>
    <w:rsid w:val="55AF412E"/>
    <w:rsid w:val="55CC224D"/>
    <w:rsid w:val="563C3F5A"/>
    <w:rsid w:val="56431446"/>
    <w:rsid w:val="57013E8E"/>
    <w:rsid w:val="57B51D71"/>
    <w:rsid w:val="58333F0E"/>
    <w:rsid w:val="58E3481A"/>
    <w:rsid w:val="593F3679"/>
    <w:rsid w:val="5A1A7F93"/>
    <w:rsid w:val="5A436D1B"/>
    <w:rsid w:val="5A6C0FF1"/>
    <w:rsid w:val="5A8B75F0"/>
    <w:rsid w:val="5A971734"/>
    <w:rsid w:val="5AEC372E"/>
    <w:rsid w:val="5B3A7750"/>
    <w:rsid w:val="5B555777"/>
    <w:rsid w:val="5C1A6687"/>
    <w:rsid w:val="5C414E28"/>
    <w:rsid w:val="5CF43DDA"/>
    <w:rsid w:val="5CFC1DA6"/>
    <w:rsid w:val="5D7F2AAE"/>
    <w:rsid w:val="5DCA670A"/>
    <w:rsid w:val="5ED30E8D"/>
    <w:rsid w:val="5F2E07B9"/>
    <w:rsid w:val="5F8B0B21"/>
    <w:rsid w:val="600734E4"/>
    <w:rsid w:val="6046742A"/>
    <w:rsid w:val="60853B22"/>
    <w:rsid w:val="60EC4446"/>
    <w:rsid w:val="613A437F"/>
    <w:rsid w:val="618047EF"/>
    <w:rsid w:val="618741B1"/>
    <w:rsid w:val="6190493F"/>
    <w:rsid w:val="61F25ACE"/>
    <w:rsid w:val="62232B09"/>
    <w:rsid w:val="62331736"/>
    <w:rsid w:val="624F4CCE"/>
    <w:rsid w:val="625642AF"/>
    <w:rsid w:val="6300421A"/>
    <w:rsid w:val="64175CC0"/>
    <w:rsid w:val="6485497B"/>
    <w:rsid w:val="64AE23A4"/>
    <w:rsid w:val="64B559C9"/>
    <w:rsid w:val="65464C22"/>
    <w:rsid w:val="65A013CF"/>
    <w:rsid w:val="65CC6636"/>
    <w:rsid w:val="663A7A43"/>
    <w:rsid w:val="6767777D"/>
    <w:rsid w:val="67E73BFB"/>
    <w:rsid w:val="69036813"/>
    <w:rsid w:val="69695CED"/>
    <w:rsid w:val="6A123B89"/>
    <w:rsid w:val="6A454B0E"/>
    <w:rsid w:val="6AB46016"/>
    <w:rsid w:val="6AFE23BA"/>
    <w:rsid w:val="6C501D6F"/>
    <w:rsid w:val="6C6D2921"/>
    <w:rsid w:val="6D5743BB"/>
    <w:rsid w:val="6DCC3677"/>
    <w:rsid w:val="6E3631E6"/>
    <w:rsid w:val="700C6ACD"/>
    <w:rsid w:val="701337DF"/>
    <w:rsid w:val="704020FA"/>
    <w:rsid w:val="70416FE8"/>
    <w:rsid w:val="705175AA"/>
    <w:rsid w:val="706DD62A"/>
    <w:rsid w:val="707E7DCB"/>
    <w:rsid w:val="70893924"/>
    <w:rsid w:val="70E07A55"/>
    <w:rsid w:val="70F86125"/>
    <w:rsid w:val="71B82CF3"/>
    <w:rsid w:val="71F62B06"/>
    <w:rsid w:val="72C60FDD"/>
    <w:rsid w:val="72F86293"/>
    <w:rsid w:val="73410663"/>
    <w:rsid w:val="734463A5"/>
    <w:rsid w:val="734D2758"/>
    <w:rsid w:val="738E13CF"/>
    <w:rsid w:val="73C65A80"/>
    <w:rsid w:val="74033B6B"/>
    <w:rsid w:val="7447614D"/>
    <w:rsid w:val="746F2FAE"/>
    <w:rsid w:val="74A652BA"/>
    <w:rsid w:val="74A7110A"/>
    <w:rsid w:val="7507768A"/>
    <w:rsid w:val="755C79D6"/>
    <w:rsid w:val="756D3991"/>
    <w:rsid w:val="758E56B6"/>
    <w:rsid w:val="759A512E"/>
    <w:rsid w:val="76DB0DCF"/>
    <w:rsid w:val="772774BF"/>
    <w:rsid w:val="77550B81"/>
    <w:rsid w:val="77652F76"/>
    <w:rsid w:val="777F175A"/>
    <w:rsid w:val="77AB1DE2"/>
    <w:rsid w:val="77BDA576"/>
    <w:rsid w:val="77C07823"/>
    <w:rsid w:val="77EB5041"/>
    <w:rsid w:val="782D7408"/>
    <w:rsid w:val="78561D2C"/>
    <w:rsid w:val="78A0404F"/>
    <w:rsid w:val="78AA2807"/>
    <w:rsid w:val="792C3B64"/>
    <w:rsid w:val="796455EB"/>
    <w:rsid w:val="79742851"/>
    <w:rsid w:val="799B7346"/>
    <w:rsid w:val="79C331F0"/>
    <w:rsid w:val="79DB2482"/>
    <w:rsid w:val="79FEEB98"/>
    <w:rsid w:val="7ADB16C7"/>
    <w:rsid w:val="7ADDC72D"/>
    <w:rsid w:val="7AE10AA3"/>
    <w:rsid w:val="7AEC35AA"/>
    <w:rsid w:val="7B024B7C"/>
    <w:rsid w:val="7B205002"/>
    <w:rsid w:val="7B5B0730"/>
    <w:rsid w:val="7B8342A8"/>
    <w:rsid w:val="7BAF2219"/>
    <w:rsid w:val="7BF669A9"/>
    <w:rsid w:val="7C77AB88"/>
    <w:rsid w:val="7CAC176D"/>
    <w:rsid w:val="7CBA295C"/>
    <w:rsid w:val="7CBF9DAD"/>
    <w:rsid w:val="7CDE03D4"/>
    <w:rsid w:val="7CFB7453"/>
    <w:rsid w:val="7D3A137E"/>
    <w:rsid w:val="7DAC5273"/>
    <w:rsid w:val="7DC91981"/>
    <w:rsid w:val="7E24305B"/>
    <w:rsid w:val="7E7257DC"/>
    <w:rsid w:val="7E9417C7"/>
    <w:rsid w:val="7EC72307"/>
    <w:rsid w:val="7F081C29"/>
    <w:rsid w:val="7F600D34"/>
    <w:rsid w:val="7F853839"/>
    <w:rsid w:val="7FFA9871"/>
    <w:rsid w:val="8F73F9AC"/>
    <w:rsid w:val="9FECD63A"/>
    <w:rsid w:val="A8792E40"/>
    <w:rsid w:val="AAFFB427"/>
    <w:rsid w:val="ABFAFD39"/>
    <w:rsid w:val="AEFDAA50"/>
    <w:rsid w:val="B76E6C33"/>
    <w:rsid w:val="BAF29762"/>
    <w:rsid w:val="BFFD740F"/>
    <w:rsid w:val="C6EB9BFC"/>
    <w:rsid w:val="D9E6C029"/>
    <w:rsid w:val="DFBDD6C2"/>
    <w:rsid w:val="DFCB724C"/>
    <w:rsid w:val="E87F2212"/>
    <w:rsid w:val="EEFBC7AA"/>
    <w:rsid w:val="EFAF65FD"/>
    <w:rsid w:val="EFEF5673"/>
    <w:rsid w:val="F7FB200E"/>
    <w:rsid w:val="F7FFA78A"/>
    <w:rsid w:val="F9D6B2FF"/>
    <w:rsid w:val="FFBA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tabs>
        <w:tab w:val="left" w:pos="720"/>
      </w:tabs>
      <w:spacing w:before="260" w:after="260"/>
      <w:outlineLvl w:val="2"/>
    </w:pPr>
    <w:rPr>
      <w:rFonts w:ascii="宋体" w:hAnsi="宋体"/>
      <w:b/>
      <w:bCs/>
      <w:sz w:val="24"/>
      <w:szCs w:val="32"/>
    </w:rPr>
  </w:style>
  <w:style w:type="character" w:default="1" w:styleId="15">
    <w:name w:val="Default Paragraph Font"/>
    <w:semiHidden/>
    <w:unhideWhenUsed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autoRedefine/>
    <w:qFormat/>
    <w:uiPriority w:val="0"/>
    <w:pPr>
      <w:spacing w:line="360" w:lineRule="auto"/>
    </w:pPr>
    <w:rPr>
      <w:rFonts w:ascii="宋体" w:hAnsi="宋体"/>
      <w:b/>
      <w:szCs w:val="21"/>
    </w:rPr>
  </w:style>
  <w:style w:type="paragraph" w:styleId="6">
    <w:name w:val="annotation text"/>
    <w:basedOn w:val="1"/>
    <w:autoRedefine/>
    <w:qFormat/>
    <w:uiPriority w:val="0"/>
    <w:pPr>
      <w:jc w:val="left"/>
    </w:pPr>
  </w:style>
  <w:style w:type="paragraph" w:styleId="7">
    <w:name w:val="Body Text"/>
    <w:basedOn w:val="1"/>
    <w:autoRedefine/>
    <w:qFormat/>
    <w:uiPriority w:val="0"/>
    <w:pPr>
      <w:overflowPunct w:val="0"/>
      <w:autoSpaceDE w:val="0"/>
      <w:autoSpaceDN w:val="0"/>
      <w:adjustRightInd w:val="0"/>
      <w:spacing w:before="120" w:after="120"/>
      <w:ind w:left="2520"/>
      <w:jc w:val="left"/>
      <w:textAlignment w:val="baseline"/>
    </w:pPr>
    <w:rPr>
      <w:rFonts w:ascii="宋体"/>
      <w:kern w:val="0"/>
      <w:sz w:val="24"/>
      <w:szCs w:val="20"/>
    </w:rPr>
  </w:style>
  <w:style w:type="paragraph" w:styleId="8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1"/>
    <w:next w:val="1"/>
    <w:autoRedefine/>
    <w:qFormat/>
    <w:uiPriority w:val="39"/>
  </w:style>
  <w:style w:type="paragraph" w:styleId="11">
    <w:name w:val="toc 2"/>
    <w:basedOn w:val="1"/>
    <w:next w:val="1"/>
    <w:autoRedefine/>
    <w:qFormat/>
    <w:uiPriority w:val="39"/>
    <w:pPr>
      <w:ind w:left="420" w:leftChars="200"/>
    </w:pPr>
  </w:style>
  <w:style w:type="paragraph" w:styleId="12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3">
    <w:name w:val="Body Text First Indent"/>
    <w:basedOn w:val="7"/>
    <w:autoRedefine/>
    <w:unhideWhenUsed/>
    <w:qFormat/>
    <w:uiPriority w:val="99"/>
    <w:pPr>
      <w:tabs>
        <w:tab w:val="left" w:pos="567"/>
        <w:tab w:val="left" w:pos="1701"/>
      </w:tabs>
      <w:ind w:firstLine="420" w:firstLineChars="100"/>
    </w:pPr>
    <w:rPr>
      <w:szCs w:val="22"/>
    </w:rPr>
  </w:style>
  <w:style w:type="character" w:styleId="16">
    <w:name w:val="Strong"/>
    <w:basedOn w:val="15"/>
    <w:autoRedefine/>
    <w:qFormat/>
    <w:uiPriority w:val="0"/>
    <w:rPr>
      <w:b/>
    </w:rPr>
  </w:style>
  <w:style w:type="character" w:styleId="17">
    <w:name w:val="FollowedHyperlink"/>
    <w:basedOn w:val="15"/>
    <w:autoRedefine/>
    <w:qFormat/>
    <w:uiPriority w:val="0"/>
    <w:rPr>
      <w:color w:val="800080"/>
      <w:u w:val="single"/>
    </w:rPr>
  </w:style>
  <w:style w:type="character" w:styleId="18">
    <w:name w:val="Hyperlink"/>
    <w:basedOn w:val="15"/>
    <w:autoRedefine/>
    <w:qFormat/>
    <w:uiPriority w:val="99"/>
    <w:rPr>
      <w:color w:val="0000FF"/>
      <w:u w:val="single"/>
    </w:rPr>
  </w:style>
  <w:style w:type="character" w:styleId="19">
    <w:name w:val="annotation reference"/>
    <w:basedOn w:val="15"/>
    <w:autoRedefine/>
    <w:qFormat/>
    <w:uiPriority w:val="0"/>
    <w:rPr>
      <w:sz w:val="21"/>
      <w:szCs w:val="21"/>
    </w:rPr>
  </w:style>
  <w:style w:type="paragraph" w:customStyle="1" w:styleId="20">
    <w:name w:val="WPSOffice手动目录 1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21">
    <w:name w:val="列表段落1"/>
    <w:basedOn w:val="1"/>
    <w:autoRedefine/>
    <w:qFormat/>
    <w:uiPriority w:val="34"/>
    <w:pPr>
      <w:ind w:firstLine="420" w:firstLineChars="200"/>
    </w:pPr>
    <w:rPr>
      <w:szCs w:val="22"/>
    </w:rPr>
  </w:style>
  <w:style w:type="paragraph" w:customStyle="1" w:styleId="22">
    <w:name w:val="WPSOffice手动目录 2"/>
    <w:autoRedefine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7" Type="http://schemas.openxmlformats.org/officeDocument/2006/relationships/fontTable" Target="fontTable.xml"/><Relationship Id="rId36" Type="http://schemas.openxmlformats.org/officeDocument/2006/relationships/customXml" Target="../customXml/item2.xml"/><Relationship Id="rId35" Type="http://schemas.openxmlformats.org/officeDocument/2006/relationships/numbering" Target="numbering.xml"/><Relationship Id="rId34" Type="http://schemas.openxmlformats.org/officeDocument/2006/relationships/customXml" Target="../customXml/item1.xml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645C234-36BF-48CD-BDA5-33C44CFCFA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1675</Words>
  <Characters>1772</Characters>
  <Lines>19</Lines>
  <Paragraphs>5</Paragraphs>
  <TotalTime>0</TotalTime>
  <ScaleCrop>false</ScaleCrop>
  <LinksUpToDate>false</LinksUpToDate>
  <CharactersWithSpaces>1811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2024-09-16T11:41:00Z</dcterms:created>
  <dc:creator>86155</dc:creator>
  <cp:lastModifiedBy>李刚</cp:lastModifiedBy>
  <dcterms:modified xsi:type="dcterms:W3CDTF">2026-09-10T06:11:52Z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4384F12E8E46420A984545D3B90DD2AD_13</vt:lpwstr>
  </property>
</Properties>
</file>